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6B" w:rsidRPr="00F4666B" w:rsidRDefault="00F4666B" w:rsidP="00F466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F4666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Вопросы и ответы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Вопрос 1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Нужны ли медицинские справки взрослым для посещения бассейна, если бассейн используется для плавания взрослых и детей (при условии, что медицинская справка для детей должна быть предоставлена?)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медицинских справок   для посещения бассейнов (как самостоятельных учреждений, так и в составе других организаций) регламентируется требованиями следующих нормативных документов: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СанПиН 2.1.2.1188-03 «Плавательные бассейны. Гигиенические требования к устройству, эксплуатации и качеству воды. Контроль качества»;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СанПиН 3.2.3215-14 «Профилактика паразитарных болезней на территории Российской Федерации»;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СанПиН 3.2.3110-13«Профилактика энтеробиоза».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п. 3.12.2. СанПиН 2.1.2.1188-03 вне зависимости от санитарно-эпидемической ситуации детям дошкольного и младшего школьного возраста (1-4 классы) в обязательном порядке требуется справка о результатах </w:t>
      </w:r>
      <w:proofErr w:type="spellStart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паразитологического</w:t>
      </w:r>
      <w:proofErr w:type="spellEnd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обследования на энтеробиоз: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приемом в плавательную группу (секцию) бассейна, в дальнейшем не менее 1 раза в три месяца;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разовых посещениях - перед каждым посещением, если разрыв между ними более двух месяцев.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наличием медицинской справки у посетителей обеспечивает администрация бассейна.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4.3.2. СанПиН 3.2.3110-13 обследованию на энтеробиоз (соскоб) подлежат все лица (взрослые и дети), получающие допуск для посещения плавательного бассейна (при оформлении справки в бассейн). </w:t>
      </w:r>
    </w:p>
    <w:p w:rsidR="00F4666B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4.1 СанПиН 3.2.3215-14 обследованию на </w:t>
      </w:r>
      <w:proofErr w:type="spellStart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гименолипедоз</w:t>
      </w:r>
      <w:proofErr w:type="spellEnd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(кал) подлежат все лица (взрослые и дети), получающие допуск для посещения плавательного бассейна (при оформлении справки в бассейн). </w:t>
      </w:r>
    </w:p>
    <w:p w:rsidR="00F4666B" w:rsidRPr="00F4666B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E34" w:rsidRPr="0042600F" w:rsidRDefault="00C21E34" w:rsidP="00C21E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Вопрос 2: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Медицинская организация имеет</w:t>
      </w: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договоры на вывоз медицинских отходов. Сейчас региональный оператор настаивает на заключении дого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вора с ним на вывоз ТБО. Обязана ли медицинская организация заключа</w:t>
      </w: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 договор и с региональным оператором?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</w:t>
      </w: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hyperlink r:id="rId6" w:anchor="block_493" w:history="1">
        <w:r w:rsidRPr="00F466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ч. 3 ст. 49</w:t>
        </w:r>
      </w:hyperlink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N 323-ФЗ "Об основах охраны здоровья граждан в Российской Федерации" медицинские отходы подлежат сбору, использованию, обезвреживанию, размещению, хранению, транспортировке, учету и утилизации в порядке, установленном законодательством в области обеспечения санитарно-эпидемиологического благополучия населения.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Обязательные санитарно-эпидемиологические требования к обращению (сбору, временному хранению, обеззараживанию, обезвреживанию, транспортированию) с отходами, образующимися в организациях при осуществлении медицинской и/или фармацевтической деятельности, выполнении лечебно-диагностических и оздоровительных процедур, а также к размещению, оборудованию и эксплуатации участка по обращению с медицинскими отходами, санитарно-противоэпидемическому режиму работы при обращении с медицинскими отходами установлены </w:t>
      </w:r>
      <w:hyperlink r:id="rId7" w:history="1">
        <w:r w:rsidRPr="00C21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2.1.7.2790-10</w:t>
        </w:r>
      </w:hyperlink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"Санитарно-эпидемиологические требования к обращению с медицинскими отходами".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п. 2.1 СанПиН 2.1.7.2790-10 медицинские отходы в зависимости от степени их эпидемиологической, токсикологической и радиационной опасности, а также негативного воздействия на среду обитания, подразделяются на пять классов опасности: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класс А - </w:t>
      </w:r>
      <w:proofErr w:type="spellStart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безопасные отходы, приближенные по составу к твердым бытовым отходам,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 Б - </w:t>
      </w:r>
      <w:proofErr w:type="spellStart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опасные отходы,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 В - чрезвычайно </w:t>
      </w:r>
      <w:proofErr w:type="spellStart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опасные отходы,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 Г - </w:t>
      </w:r>
      <w:proofErr w:type="spellStart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токсикологически</w:t>
      </w:r>
      <w:proofErr w:type="spellEnd"/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опасные отходы 1 - 4 классов опасности,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 Д - радиоактивные отходы.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морфологического состава отходов класса А приведена в </w:t>
      </w:r>
      <w:hyperlink r:id="rId8" w:history="1">
        <w:r w:rsidRPr="00C21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2.1.7.2790-10</w:t>
        </w:r>
      </w:hyperlink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отходы, не имеющие контакта с биологическими жидкостями пациентов, инфекционными больными. Канцелярские принадлежности, упаковка, мебель, инвентарь, потерявшие потребительские свойства. Смет от уборки территории и так далее. Пищевые отходы центральных пищеблоков, а также всех подразделений организации, осуществляющей медицинскую и/или фармацевтическую деятельность, кроме инфекционных, в том числе фтизиатрических.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Хотя медицинские отходы класса А по составу и близки к твердым коммунальным отходам и их транспортирование подчиняется нормативным требованиям, из приведенных норм формально не следует, что такие отходы должны квалифицироваться как твердые коммунальные отходы.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</w:t>
      </w:r>
      <w:hyperlink r:id="rId9" w:history="1">
        <w:r w:rsidRPr="00C21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3.8</w:t>
        </w:r>
      </w:hyperlink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СанПиН 2.1.7.2790-10 транспортирование отходов с территории организаций, осуществляющих медицинскую и/или фармацевтическую деятельность, производится транспортом специализированных организаций к месту последующего обезвреживания, размещения медицинских отходов с учетом единой централизованной системы санитарной очистки данной административной территории. </w:t>
      </w:r>
    </w:p>
    <w:p w:rsidR="00C21E34" w:rsidRPr="00C21E34" w:rsidRDefault="00C21E34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и полномочия регионального оператора определены Федеральным законом от 24.06.1998 N 89-ФЗ "Об отходах производства и потребления (ред. от 25.12.2018) и заключаются в оказании услуг по обращению с твердыми коммунальными отходами. </w:t>
      </w:r>
    </w:p>
    <w:p w:rsidR="00C21E34" w:rsidRPr="00C21E34" w:rsidRDefault="00F4666B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заключения договоров на оказание услуг по обращению с твердыми коммунальными отходами определен Постановлением Правительства РФ от 12.11.2016 N 1156 (ред. от 15.12.2018) "Об обращении с твердыми коммунальными отходами и внесении изменения в постановление Правительства Российской Федерации от 25 августа 2008 г. N 641". </w:t>
      </w:r>
    </w:p>
    <w:p w:rsidR="00C21E34" w:rsidRPr="00C21E34" w:rsidRDefault="00F4666B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внесением изменений в Федеральный закон от 24.06.1998 N 89-ФЗ "Об отходах производства и потребления" медицинские отходы выведены из общей системы регулирования обращения с отходами (</w:t>
      </w:r>
      <w:hyperlink r:id="rId10" w:history="1">
        <w:r w:rsidR="00C21E34" w:rsidRPr="00C21E3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п. 2 статьи 2</w:t>
        </w:r>
      </w:hyperlink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закона). </w:t>
      </w:r>
    </w:p>
    <w:p w:rsidR="00C21E34" w:rsidRPr="00C21E34" w:rsidRDefault="00F4666B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Отсюда можно сделать вывод о том, что региональный оператор не может настаивать на заключении договора на оказание им услуг по транспортировке отходов, образующихся в медицинской организации. </w:t>
      </w:r>
    </w:p>
    <w:p w:rsidR="00C21E34" w:rsidRPr="00C21E34" w:rsidRDefault="00F4666B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юридическое лицо, обладающее в настоящее время статусом регионального оператора, вправе осуществлять иные разрешенные виды деятельности, в </w:t>
      </w:r>
      <w:proofErr w:type="spellStart"/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лицензией на деятельность по сбору, транспортированию, обработке, утилизации, обезвреживанию, размещению 1-4 классов опасности, может осуществлять прием отходов, не относящихся к твердым коммунальным отходам и осуществлять захоронение на полигоне, отходы класса А не запрещены для размещения на полигоне.</w:t>
      </w:r>
    </w:p>
    <w:p w:rsidR="00C21E34" w:rsidRPr="00C21E34" w:rsidRDefault="00F4666B" w:rsidP="00C2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21E34" w:rsidRPr="00C2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решения вопроса по вывозу и утилизации медицинских отходов Вы вправе заключить договор с любой специализированной организацией, занимающейся деятельностью по обращению с медицинскими отходами. Требования по получению лицензий на деятельность по обращению с медицинскими отходами законодательством не установлены. </w:t>
      </w:r>
    </w:p>
    <w:p w:rsidR="00AD65BA" w:rsidRDefault="00AD65BA" w:rsidP="00C21E34">
      <w:pPr>
        <w:spacing w:after="0" w:line="240" w:lineRule="auto"/>
      </w:pPr>
    </w:p>
    <w:p w:rsidR="00F4666B" w:rsidRDefault="00F4666B" w:rsidP="00F466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Вопрос 3</w:t>
      </w: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ли быть привит против гриппа персонал учреждений, представляющих услуги бассейнов?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Весь персонал должен ежегодно прививаться против гриппа. В соответствии с национальным календарём профилактических прививок, утверждённым приказом Министерства здравоохранения Российской Федерации от 21.03.2014г. № 125н «Об утверждении национального календаря профилактических прививок и календаря профилактических прививок по эпидемическим показателям», прививки населению против гриппа прово</w:t>
      </w:r>
      <w:r w:rsidR="00EA7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дятся гражданам ежегодно в </w:t>
      </w:r>
      <w:proofErr w:type="spellStart"/>
      <w:r w:rsidR="00EA7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эпидемиче</w:t>
      </w:r>
      <w:bookmarkStart w:id="0" w:name="_GoBack"/>
      <w:bookmarkEnd w:id="0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</w:t>
      </w:r>
      <w:proofErr w:type="spellEnd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(с середины августа до начала ноября) в ходе массовой предсезонной иммунизации против гриппа населению.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п.11.2 СП 3.1.2.3117-13 «Профилактика гриппа и других острых респираторных вирусных инфекций» вакцинации против гриппа в </w:t>
      </w:r>
      <w:proofErr w:type="spellStart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предэпидемический</w:t>
      </w:r>
      <w:proofErr w:type="spellEnd"/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за счёт средств Федерального и муниципальных бюджетов в первую очередь подлежат лица, относящиеся к категории высокого риска заболевания гриппом и неблагоприятных осложнений при заболевании, к которым относятся: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лица старше 60 лет, прежде всего проживающие в учреждениях социального обеспечения;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лица, страдающие заболеваниями эндокринной системы (диабет), нарушениями обмена веществ (ожирение), болезнями системы кровообращения (гипертоническая болезнь, ишемическая болезнь сердца), хроническими заболеваниями дыхательной системы (хронический бронхит, бронхиальная астма), хроническими заболеваниями печени и почек;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беременные женщины (только инактивированными вакцинами);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лица, часто болеющие острыми респираторными вирусными заболеваниями;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старше 6 месяцев, дети, посещающие дошкольные образовательные организации и (или) находящиеся в организациях с постоянным пребыванием (детские дома, дома ребенка);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школьники;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медицинские работники;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работники сферы обслуживания, транспорта, учебных заведений;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воинские контингенты. </w:t>
      </w:r>
    </w:p>
    <w:p w:rsidR="00F4666B" w:rsidRPr="0042600F" w:rsidRDefault="00F4666B" w:rsidP="00F46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Остальные категории работников должны ежегодно прививаться против гриппа за счёт средств работодателей или собственных средств граждан. </w:t>
      </w:r>
    </w:p>
    <w:p w:rsidR="00F4666B" w:rsidRDefault="00F4666B" w:rsidP="00F4666B">
      <w:pPr>
        <w:spacing w:after="0" w:line="240" w:lineRule="auto"/>
      </w:pPr>
    </w:p>
    <w:p w:rsidR="00193E5B" w:rsidRDefault="00193E5B" w:rsidP="00193E5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E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Вопрос 3:</w:t>
      </w:r>
      <w:r w:rsidRPr="001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Могут ли на первых</w:t>
      </w:r>
      <w:r w:rsidRPr="00193E5B">
        <w:rPr>
          <w:rFonts w:ascii="Times New Roman" w:hAnsi="Times New Roman" w:cs="Times New Roman"/>
          <w:b/>
          <w:sz w:val="24"/>
          <w:szCs w:val="24"/>
        </w:rPr>
        <w:t xml:space="preserve"> этажах жилых домов располагаться специализированные рыбные магазины? </w:t>
      </w:r>
    </w:p>
    <w:p w:rsidR="00193E5B" w:rsidRDefault="00193E5B" w:rsidP="00193E5B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E5B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3E5B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санитарными правилами (СП) 2.3.6.1066-01 «Санитарно-эпидемиологические требования к организациям торговли и обороту в них продовольственного сырья и пищевых продуктов» в помещениях, встроенных, встроенно-пристроенных к жилым зданиям и зданиям иного назначения, не допускается размещать специализированные рыбные и овощные магазины, а также магазины, площадью более 1000 м2.  </w:t>
      </w:r>
    </w:p>
    <w:p w:rsidR="00193E5B" w:rsidRPr="00193E5B" w:rsidRDefault="00193E5B" w:rsidP="00193E5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Вопрос 4</w:t>
      </w:r>
      <w:r w:rsidRPr="00193E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  <w:r w:rsidRPr="001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3E5B">
        <w:rPr>
          <w:rFonts w:ascii="Times New Roman" w:hAnsi="Times New Roman" w:cs="Times New Roman"/>
          <w:b/>
          <w:sz w:val="24"/>
          <w:szCs w:val="24"/>
        </w:rPr>
        <w:t>Какие требования к размещению помещений общественного назначения в жилых зданиях?</w:t>
      </w:r>
    </w:p>
    <w:p w:rsidR="00193E5B" w:rsidRPr="00193E5B" w:rsidRDefault="00193E5B" w:rsidP="00193E5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E5B">
        <w:rPr>
          <w:rFonts w:ascii="Times New Roman" w:hAnsi="Times New Roman" w:cs="Times New Roman"/>
          <w:sz w:val="24"/>
          <w:szCs w:val="24"/>
        </w:rPr>
        <w:t xml:space="preserve">    </w:t>
      </w:r>
      <w:r w:rsidRPr="00193E5B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 w:rsidRPr="00193E5B">
        <w:rPr>
          <w:rFonts w:ascii="Times New Roman" w:hAnsi="Times New Roman" w:cs="Times New Roman"/>
          <w:sz w:val="24"/>
          <w:szCs w:val="24"/>
        </w:rPr>
        <w:t xml:space="preserve"> Согласно п. 3.3 СанПиН 2.1.2.2645-10 «Санитарно-эпидемиологические требования к условиям проживания в жилых зданиях и помещениях» помещения общественного назначения, вс</w:t>
      </w:r>
      <w:r>
        <w:rPr>
          <w:rFonts w:ascii="Times New Roman" w:hAnsi="Times New Roman" w:cs="Times New Roman"/>
          <w:sz w:val="24"/>
          <w:szCs w:val="24"/>
        </w:rPr>
        <w:t>троенные в жилые здания, должны</w:t>
      </w:r>
      <w:r w:rsidRPr="00193E5B">
        <w:rPr>
          <w:rFonts w:ascii="Times New Roman" w:hAnsi="Times New Roman" w:cs="Times New Roman"/>
          <w:sz w:val="24"/>
          <w:szCs w:val="24"/>
        </w:rPr>
        <w:t xml:space="preserve"> иметь входы, изолированные от жилой части здания; согласно п. 3.4. не допускается размещение в жилых помещениях промышленных производств.</w:t>
      </w:r>
    </w:p>
    <w:p w:rsidR="00193E5B" w:rsidRPr="00C21E34" w:rsidRDefault="00193E5B" w:rsidP="00F4666B">
      <w:pPr>
        <w:spacing w:after="0" w:line="240" w:lineRule="auto"/>
      </w:pPr>
    </w:p>
    <w:sectPr w:rsidR="00193E5B" w:rsidRPr="00C21E34" w:rsidSect="00193E5B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B8A" w:rsidRDefault="003A6B8A" w:rsidP="00193E5B">
      <w:pPr>
        <w:spacing w:after="0" w:line="240" w:lineRule="auto"/>
      </w:pPr>
      <w:r>
        <w:separator/>
      </w:r>
    </w:p>
  </w:endnote>
  <w:endnote w:type="continuationSeparator" w:id="0">
    <w:p w:rsidR="003A6B8A" w:rsidRDefault="003A6B8A" w:rsidP="0019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9159806"/>
      <w:docPartObj>
        <w:docPartGallery w:val="Page Numbers (Bottom of Page)"/>
        <w:docPartUnique/>
      </w:docPartObj>
    </w:sdtPr>
    <w:sdtEndPr/>
    <w:sdtContent>
      <w:p w:rsidR="00193E5B" w:rsidRDefault="00193E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9AA">
          <w:rPr>
            <w:noProof/>
          </w:rPr>
          <w:t>3</w:t>
        </w:r>
        <w:r>
          <w:fldChar w:fldCharType="end"/>
        </w:r>
      </w:p>
    </w:sdtContent>
  </w:sdt>
  <w:p w:rsidR="00193E5B" w:rsidRDefault="00193E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B8A" w:rsidRDefault="003A6B8A" w:rsidP="00193E5B">
      <w:pPr>
        <w:spacing w:after="0" w:line="240" w:lineRule="auto"/>
      </w:pPr>
      <w:r>
        <w:separator/>
      </w:r>
    </w:p>
  </w:footnote>
  <w:footnote w:type="continuationSeparator" w:id="0">
    <w:p w:rsidR="003A6B8A" w:rsidRDefault="003A6B8A" w:rsidP="00193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78"/>
    <w:rsid w:val="00193E5B"/>
    <w:rsid w:val="003A6B8A"/>
    <w:rsid w:val="005E1387"/>
    <w:rsid w:val="00AD65BA"/>
    <w:rsid w:val="00C21E34"/>
    <w:rsid w:val="00EA79AA"/>
    <w:rsid w:val="00F4666B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6A2F6-2845-4DB1-8959-5ED0253F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3E5B"/>
  </w:style>
  <w:style w:type="paragraph" w:styleId="a5">
    <w:name w:val="footer"/>
    <w:basedOn w:val="a"/>
    <w:link w:val="a6"/>
    <w:uiPriority w:val="99"/>
    <w:unhideWhenUsed/>
    <w:rsid w:val="00193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3E5B"/>
  </w:style>
  <w:style w:type="paragraph" w:styleId="a7">
    <w:name w:val="Balloon Text"/>
    <w:basedOn w:val="a"/>
    <w:link w:val="a8"/>
    <w:uiPriority w:val="99"/>
    <w:semiHidden/>
    <w:unhideWhenUsed/>
    <w:rsid w:val="0019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3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0EBBB64B688CD321FE24BA35F667CF0F1953EB9F422CBC845FB62257AEDCC313E42E8429EFA5881520EA80A6BDFA70D8ACE71BCEAD8897qD49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0EBBB64B688CD321FE24BA35F667CF0F1953EB9F422CBC845FB62257AEDCC313E42E8429EFA5881520EA80A6BDFA70D8ACE71BCEAD8897qD49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2191967/07bdd21ab547687f72d1294bbd35ef3e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E3941C8B93577B62D23CCDE220C39075D5550EAC2CACEAF310806698283627E8CD323665CCE2256765A5D4A6183A64398BB4BD5D82bBDB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135CE971665B0A2EDE98AD4E2390B8FF9181A1F99F73BBFB8E1B470C7119260801258889F96857E4C8645D17EBA08FB422510EACA19E8F9D3E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6</cp:revision>
  <cp:lastPrinted>2019-03-14T07:52:00Z</cp:lastPrinted>
  <dcterms:created xsi:type="dcterms:W3CDTF">2019-03-14T07:28:00Z</dcterms:created>
  <dcterms:modified xsi:type="dcterms:W3CDTF">2019-03-14T08:26:00Z</dcterms:modified>
</cp:coreProperties>
</file>