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BED" w:rsidRDefault="00252BED" w:rsidP="00252BED">
      <w:pPr>
        <w:tabs>
          <w:tab w:val="left" w:pos="540"/>
        </w:tabs>
        <w:ind w:right="-55"/>
        <w:jc w:val="center"/>
        <w:rPr>
          <w:b/>
          <w:sz w:val="32"/>
          <w:szCs w:val="32"/>
        </w:rPr>
      </w:pPr>
    </w:p>
    <w:p w:rsidR="00252BED" w:rsidRDefault="00252BED" w:rsidP="00252BED">
      <w:pPr>
        <w:tabs>
          <w:tab w:val="left" w:pos="540"/>
        </w:tabs>
        <w:ind w:right="-55"/>
        <w:jc w:val="center"/>
        <w:rPr>
          <w:b/>
          <w:sz w:val="32"/>
          <w:szCs w:val="32"/>
        </w:rPr>
      </w:pPr>
    </w:p>
    <w:p w:rsidR="00252BED" w:rsidRDefault="00252BED" w:rsidP="00252BED">
      <w:pPr>
        <w:tabs>
          <w:tab w:val="left" w:pos="540"/>
        </w:tabs>
        <w:ind w:right="-55"/>
        <w:jc w:val="center"/>
        <w:rPr>
          <w:b/>
          <w:sz w:val="32"/>
          <w:szCs w:val="32"/>
        </w:rPr>
      </w:pPr>
    </w:p>
    <w:p w:rsidR="00252BED" w:rsidRDefault="00252BED" w:rsidP="00252BED">
      <w:pPr>
        <w:tabs>
          <w:tab w:val="left" w:pos="540"/>
        </w:tabs>
        <w:ind w:right="-55"/>
        <w:jc w:val="center"/>
        <w:rPr>
          <w:b/>
          <w:sz w:val="32"/>
          <w:szCs w:val="32"/>
        </w:rPr>
      </w:pPr>
    </w:p>
    <w:p w:rsidR="00252BED" w:rsidRDefault="00252BED" w:rsidP="00252BED">
      <w:pPr>
        <w:tabs>
          <w:tab w:val="left" w:pos="540"/>
        </w:tabs>
        <w:ind w:right="-55"/>
        <w:jc w:val="center"/>
        <w:rPr>
          <w:b/>
          <w:sz w:val="32"/>
          <w:szCs w:val="32"/>
        </w:rPr>
      </w:pPr>
    </w:p>
    <w:p w:rsidR="00252BED" w:rsidRDefault="00252BED" w:rsidP="00252BED">
      <w:pPr>
        <w:tabs>
          <w:tab w:val="left" w:pos="540"/>
        </w:tabs>
        <w:ind w:right="-55"/>
        <w:jc w:val="center"/>
        <w:rPr>
          <w:b/>
          <w:sz w:val="32"/>
          <w:szCs w:val="32"/>
        </w:rPr>
      </w:pPr>
    </w:p>
    <w:p w:rsidR="00252BED" w:rsidRDefault="00252BED" w:rsidP="00252BED">
      <w:pPr>
        <w:tabs>
          <w:tab w:val="left" w:pos="540"/>
        </w:tabs>
        <w:ind w:right="-55"/>
        <w:jc w:val="center"/>
        <w:rPr>
          <w:b/>
          <w:sz w:val="32"/>
          <w:szCs w:val="32"/>
        </w:rPr>
      </w:pPr>
    </w:p>
    <w:p w:rsidR="00252BED" w:rsidRDefault="00252BED" w:rsidP="00252BED">
      <w:pPr>
        <w:tabs>
          <w:tab w:val="left" w:pos="540"/>
        </w:tabs>
        <w:ind w:right="-55"/>
        <w:jc w:val="center"/>
        <w:rPr>
          <w:b/>
          <w:sz w:val="32"/>
          <w:szCs w:val="32"/>
        </w:rPr>
      </w:pPr>
    </w:p>
    <w:p w:rsidR="00252BED" w:rsidRDefault="00252BED" w:rsidP="00252BED">
      <w:pPr>
        <w:tabs>
          <w:tab w:val="left" w:pos="540"/>
        </w:tabs>
        <w:ind w:right="-55"/>
        <w:jc w:val="center"/>
        <w:rPr>
          <w:b/>
          <w:sz w:val="32"/>
          <w:szCs w:val="32"/>
        </w:rPr>
      </w:pPr>
    </w:p>
    <w:p w:rsidR="00252BED" w:rsidRDefault="00252BED" w:rsidP="00252BED">
      <w:pPr>
        <w:tabs>
          <w:tab w:val="left" w:pos="540"/>
        </w:tabs>
        <w:ind w:right="-55"/>
        <w:jc w:val="center"/>
        <w:rPr>
          <w:b/>
          <w:sz w:val="32"/>
          <w:szCs w:val="32"/>
        </w:rPr>
      </w:pPr>
    </w:p>
    <w:p w:rsidR="00252BED" w:rsidRDefault="00252BED" w:rsidP="00252BED">
      <w:pPr>
        <w:tabs>
          <w:tab w:val="left" w:pos="540"/>
        </w:tabs>
        <w:ind w:right="-55"/>
        <w:jc w:val="center"/>
        <w:rPr>
          <w:b/>
          <w:sz w:val="32"/>
          <w:szCs w:val="32"/>
        </w:rPr>
      </w:pPr>
    </w:p>
    <w:p w:rsidR="00252BED" w:rsidRDefault="00252BED" w:rsidP="00252BED">
      <w:pPr>
        <w:tabs>
          <w:tab w:val="left" w:pos="540"/>
        </w:tabs>
        <w:spacing w:line="360" w:lineRule="auto"/>
        <w:ind w:right="-57"/>
        <w:jc w:val="center"/>
        <w:rPr>
          <w:b/>
          <w:sz w:val="32"/>
          <w:szCs w:val="32"/>
        </w:rPr>
      </w:pPr>
    </w:p>
    <w:p w:rsidR="00252BED" w:rsidRDefault="00252BED" w:rsidP="00252BED">
      <w:pPr>
        <w:tabs>
          <w:tab w:val="left" w:pos="540"/>
        </w:tabs>
        <w:spacing w:line="360" w:lineRule="auto"/>
        <w:ind w:right="-57"/>
        <w:jc w:val="center"/>
        <w:rPr>
          <w:b/>
          <w:sz w:val="32"/>
          <w:szCs w:val="32"/>
        </w:rPr>
      </w:pPr>
    </w:p>
    <w:p w:rsidR="00252BED" w:rsidRDefault="00252BED" w:rsidP="00252BED">
      <w:pPr>
        <w:tabs>
          <w:tab w:val="left" w:pos="540"/>
        </w:tabs>
        <w:spacing w:line="360" w:lineRule="auto"/>
        <w:ind w:right="-57"/>
        <w:jc w:val="center"/>
        <w:rPr>
          <w:b/>
          <w:sz w:val="32"/>
          <w:szCs w:val="32"/>
        </w:rPr>
      </w:pPr>
    </w:p>
    <w:p w:rsidR="00EE47B1" w:rsidRPr="00252BED" w:rsidRDefault="00252BED" w:rsidP="00252BED">
      <w:pPr>
        <w:tabs>
          <w:tab w:val="left" w:pos="540"/>
        </w:tabs>
        <w:spacing w:line="360" w:lineRule="auto"/>
        <w:ind w:right="-57"/>
        <w:jc w:val="center"/>
        <w:rPr>
          <w:b/>
          <w:sz w:val="32"/>
          <w:szCs w:val="32"/>
        </w:rPr>
      </w:pPr>
      <w:r w:rsidRPr="007925D1">
        <w:rPr>
          <w:b/>
          <w:sz w:val="32"/>
          <w:szCs w:val="32"/>
        </w:rPr>
        <w:t>Доклад с руководством</w:t>
      </w:r>
      <w:r>
        <w:rPr>
          <w:b/>
          <w:sz w:val="32"/>
          <w:szCs w:val="32"/>
        </w:rPr>
        <w:t xml:space="preserve"> по соблюдению обязательных </w:t>
      </w:r>
      <w:r w:rsidRPr="007925D1">
        <w:rPr>
          <w:b/>
          <w:sz w:val="32"/>
          <w:szCs w:val="32"/>
        </w:rPr>
        <w:t>требований</w:t>
      </w:r>
      <w:r>
        <w:rPr>
          <w:b/>
          <w:sz w:val="32"/>
          <w:szCs w:val="32"/>
        </w:rPr>
        <w:t xml:space="preserve"> </w:t>
      </w:r>
      <w:r w:rsidRPr="007925D1">
        <w:rPr>
          <w:b/>
          <w:sz w:val="32"/>
          <w:szCs w:val="32"/>
        </w:rPr>
        <w:t>Межрегионального управления №135 ФМБА России при осуществлении</w:t>
      </w:r>
      <w:r w:rsidRPr="007925D1">
        <w:rPr>
          <w:b/>
          <w:bCs/>
          <w:sz w:val="32"/>
          <w:szCs w:val="32"/>
        </w:rPr>
        <w:t xml:space="preserve"> федерального государственного</w:t>
      </w:r>
      <w:r>
        <w:rPr>
          <w:b/>
          <w:bCs/>
          <w:sz w:val="32"/>
          <w:szCs w:val="32"/>
        </w:rPr>
        <w:t xml:space="preserve"> контроля за обеспечением безопасности донорской крови и ее компонентов </w:t>
      </w:r>
      <w:r w:rsidRPr="007925D1">
        <w:rPr>
          <w:b/>
          <w:sz w:val="32"/>
          <w:szCs w:val="32"/>
        </w:rPr>
        <w:t xml:space="preserve">за </w:t>
      </w:r>
      <w:r w:rsidRPr="007925D1">
        <w:rPr>
          <w:b/>
          <w:sz w:val="32"/>
          <w:szCs w:val="32"/>
          <w:lang w:val="en-US"/>
        </w:rPr>
        <w:t>I</w:t>
      </w:r>
      <w:r w:rsidRPr="007925D1">
        <w:rPr>
          <w:b/>
          <w:sz w:val="32"/>
          <w:szCs w:val="32"/>
        </w:rPr>
        <w:t xml:space="preserve"> квартал 2018 года</w:t>
      </w:r>
    </w:p>
    <w:p w:rsidR="00EE47B1" w:rsidRDefault="00EE47B1" w:rsidP="00EE47B1">
      <w:pPr>
        <w:spacing w:line="360" w:lineRule="auto"/>
        <w:jc w:val="center"/>
        <w:rPr>
          <w:b/>
          <w:bCs/>
          <w:sz w:val="32"/>
          <w:szCs w:val="32"/>
        </w:rPr>
      </w:pPr>
    </w:p>
    <w:p w:rsidR="00EE47B1" w:rsidRDefault="00EE47B1" w:rsidP="00EE47B1">
      <w:pPr>
        <w:spacing w:line="360" w:lineRule="auto"/>
        <w:jc w:val="center"/>
        <w:rPr>
          <w:b/>
          <w:bCs/>
          <w:sz w:val="32"/>
          <w:szCs w:val="32"/>
        </w:rPr>
      </w:pPr>
    </w:p>
    <w:p w:rsidR="00EE47B1" w:rsidRPr="00D72FEF" w:rsidRDefault="00252BED" w:rsidP="00EE47B1">
      <w:pPr>
        <w:spacing w:line="360" w:lineRule="auto"/>
        <w:jc w:val="center"/>
        <w:rPr>
          <w:b/>
          <w:sz w:val="32"/>
          <w:szCs w:val="32"/>
        </w:rPr>
      </w:pPr>
      <w:r>
        <w:rPr>
          <w:b/>
          <w:sz w:val="32"/>
          <w:szCs w:val="32"/>
        </w:rPr>
        <w:t xml:space="preserve"> </w:t>
      </w:r>
    </w:p>
    <w:p w:rsidR="00D44410" w:rsidRDefault="00D44410"/>
    <w:p w:rsidR="00C719DF" w:rsidRDefault="00C719DF"/>
    <w:p w:rsidR="00C719DF" w:rsidRDefault="00C719DF"/>
    <w:p w:rsidR="00C719DF" w:rsidRDefault="00C719DF"/>
    <w:p w:rsidR="00252BED" w:rsidRDefault="00252BED"/>
    <w:p w:rsidR="00252BED" w:rsidRDefault="00252BED"/>
    <w:p w:rsidR="00252BED" w:rsidRDefault="00252BED"/>
    <w:p w:rsidR="00252BED" w:rsidRDefault="00252BED"/>
    <w:p w:rsidR="00252BED" w:rsidRDefault="00252BED"/>
    <w:p w:rsidR="00252BED" w:rsidRDefault="00252BED"/>
    <w:p w:rsidR="00252BED" w:rsidRDefault="00252BED"/>
    <w:p w:rsidR="00252BED" w:rsidRDefault="00252BED"/>
    <w:p w:rsidR="00252BED" w:rsidRDefault="00252BED"/>
    <w:p w:rsidR="00252BED" w:rsidRDefault="00252BED"/>
    <w:p w:rsidR="00252BED" w:rsidRDefault="00252BED" w:rsidP="00252BED">
      <w:pPr>
        <w:pStyle w:val="a3"/>
        <w:tabs>
          <w:tab w:val="left" w:pos="0"/>
        </w:tabs>
        <w:spacing w:after="0" w:line="240" w:lineRule="auto"/>
        <w:ind w:left="0" w:right="-57" w:firstLine="709"/>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г. Десногорск </w:t>
      </w:r>
    </w:p>
    <w:p w:rsidR="00010B6E" w:rsidRPr="005E3BEE" w:rsidRDefault="005E3BEE" w:rsidP="00010B6E">
      <w:pPr>
        <w:pStyle w:val="pcenter1"/>
        <w:rPr>
          <w:b/>
          <w:sz w:val="28"/>
          <w:szCs w:val="28"/>
        </w:rPr>
      </w:pPr>
      <w:r w:rsidRPr="005E3BEE">
        <w:rPr>
          <w:b/>
          <w:sz w:val="28"/>
          <w:szCs w:val="28"/>
        </w:rPr>
        <w:lastRenderedPageBreak/>
        <w:t xml:space="preserve">1. </w:t>
      </w:r>
      <w:r w:rsidR="00010B6E" w:rsidRPr="005E3BEE">
        <w:rPr>
          <w:b/>
          <w:sz w:val="28"/>
          <w:szCs w:val="28"/>
        </w:rPr>
        <w:t>Общие положения</w:t>
      </w:r>
    </w:p>
    <w:p w:rsidR="00010B6E" w:rsidRPr="005E3BEE" w:rsidRDefault="005E3BEE" w:rsidP="005E3BEE">
      <w:pPr>
        <w:pStyle w:val="pboth1"/>
        <w:spacing w:before="0" w:beforeAutospacing="0" w:after="0" w:line="360" w:lineRule="auto"/>
      </w:pPr>
      <w:bookmarkStart w:id="0" w:name="100004"/>
      <w:bookmarkEnd w:id="0"/>
      <w:r w:rsidRPr="005E3BEE">
        <w:t xml:space="preserve">      </w:t>
      </w:r>
      <w:r w:rsidR="00010B6E" w:rsidRPr="005E3BEE">
        <w:t>Руководство по соблюдению действующих обязательных требований при осуществлении государственного контроля за обеспечением безопасности донорской крови и ее компонентов (с разъяснением новых требований норматив</w:t>
      </w:r>
      <w:r w:rsidRPr="005E3BEE">
        <w:t>ных правовых актов) разработано и направленно</w:t>
      </w:r>
      <w:r w:rsidR="00010B6E" w:rsidRPr="005E3BEE">
        <w:t xml:space="preserve"> на предупреждение нарушения обязательных требований с целью обеспечения соблюдения подконтрольными субъектами обязательных требований, содержащихся в нормативных правовых актах.</w:t>
      </w:r>
    </w:p>
    <w:p w:rsidR="00010B6E" w:rsidRPr="005E3BEE" w:rsidRDefault="00010B6E" w:rsidP="005E3BEE">
      <w:pPr>
        <w:pStyle w:val="pboth1"/>
        <w:spacing w:before="0" w:beforeAutospacing="0" w:after="0" w:line="360" w:lineRule="auto"/>
      </w:pPr>
      <w:bookmarkStart w:id="1" w:name="100005"/>
      <w:bookmarkEnd w:id="1"/>
      <w:r w:rsidRPr="005E3BEE">
        <w:t>Государственный контроль - одна из функций государства, осуществляемая в целях организации выполнения законов и иных нормативных правовых актов.</w:t>
      </w:r>
    </w:p>
    <w:p w:rsidR="00010B6E" w:rsidRPr="005E3BEE" w:rsidRDefault="00010B6E" w:rsidP="005E3BEE">
      <w:pPr>
        <w:pStyle w:val="pboth1"/>
        <w:spacing w:before="0" w:beforeAutospacing="0" w:after="0" w:line="360" w:lineRule="auto"/>
      </w:pPr>
      <w:bookmarkStart w:id="2" w:name="100006"/>
      <w:bookmarkEnd w:id="2"/>
      <w:r w:rsidRPr="005E3BEE">
        <w:t>Одной из основных форм контрольно-надзорной деятельности являются проверки, под которыми понимается комплекс действий уполномоченных на то лиц, направленных на установление исполнения хозяйствующими субъектами норм законодательства, выявление, пресечение правонарушений и применение санкций.</w:t>
      </w:r>
    </w:p>
    <w:p w:rsidR="00010B6E" w:rsidRPr="005E3BEE" w:rsidRDefault="00010B6E" w:rsidP="005E3BEE">
      <w:pPr>
        <w:pStyle w:val="pboth1"/>
        <w:spacing w:before="0" w:beforeAutospacing="0" w:after="0" w:line="360" w:lineRule="auto"/>
      </w:pPr>
      <w:bookmarkStart w:id="3" w:name="100007"/>
      <w:bookmarkEnd w:id="3"/>
      <w:r w:rsidRPr="005E3BEE">
        <w:t>Контрольно-надзорная деятельность реализуется посредством организации и проведения проверок юридических лиц и индивидуальных предпринимателей (плановых и внеплановых, выездных и документарных), рассмотрения жалоб, заявлений, сообщений средств массовой информации и т.д.</w:t>
      </w:r>
    </w:p>
    <w:p w:rsidR="00010B6E" w:rsidRPr="003071F9" w:rsidRDefault="003071F9" w:rsidP="00010B6E">
      <w:pPr>
        <w:pStyle w:val="pcenter1"/>
        <w:rPr>
          <w:b/>
          <w:sz w:val="28"/>
          <w:szCs w:val="28"/>
        </w:rPr>
      </w:pPr>
      <w:bookmarkStart w:id="4" w:name="100008"/>
      <w:bookmarkEnd w:id="4"/>
      <w:r w:rsidRPr="003071F9">
        <w:rPr>
          <w:b/>
          <w:sz w:val="28"/>
          <w:szCs w:val="28"/>
        </w:rPr>
        <w:t xml:space="preserve">2. </w:t>
      </w:r>
      <w:r w:rsidR="00010B6E" w:rsidRPr="003071F9">
        <w:rPr>
          <w:b/>
          <w:sz w:val="28"/>
          <w:szCs w:val="28"/>
        </w:rPr>
        <w:t>Новые требования нормативных правовых актов</w:t>
      </w:r>
    </w:p>
    <w:p w:rsidR="00010B6E" w:rsidRPr="003071F9" w:rsidRDefault="003071F9" w:rsidP="003071F9">
      <w:pPr>
        <w:pStyle w:val="pboth1"/>
        <w:spacing w:before="0" w:beforeAutospacing="0" w:after="0" w:line="360" w:lineRule="auto"/>
      </w:pPr>
      <w:bookmarkStart w:id="5" w:name="100009"/>
      <w:bookmarkEnd w:id="5"/>
      <w:r>
        <w:t xml:space="preserve">      </w:t>
      </w:r>
      <w:r w:rsidR="00010B6E" w:rsidRPr="003071F9">
        <w:t xml:space="preserve">С 01.01.2017 вступили в силу положения Федерального </w:t>
      </w:r>
      <w:hyperlink r:id="rId5" w:history="1">
        <w:r w:rsidR="00010B6E" w:rsidRPr="003071F9">
          <w:rPr>
            <w:rStyle w:val="a5"/>
            <w:color w:val="auto"/>
            <w:u w:val="none"/>
          </w:rPr>
          <w:t>закона</w:t>
        </w:r>
      </w:hyperlink>
      <w:r w:rsidR="00010B6E" w:rsidRPr="003071F9">
        <w:t xml:space="preserve"> от 03.07.2016 N 277-ФЗ, которым были внесены существенные изменения в Федеральный </w:t>
      </w:r>
      <w:hyperlink r:id="rId6" w:history="1">
        <w:r w:rsidR="00010B6E" w:rsidRPr="003071F9">
          <w:rPr>
            <w:rStyle w:val="a5"/>
            <w:color w:val="auto"/>
            <w:u w:val="none"/>
          </w:rPr>
          <w:t>закон</w:t>
        </w:r>
      </w:hyperlink>
      <w:r w:rsidR="00010B6E" w:rsidRPr="003071F9">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w:t>
      </w:r>
    </w:p>
    <w:p w:rsidR="00010B6E" w:rsidRPr="003071F9" w:rsidRDefault="003071F9" w:rsidP="003071F9">
      <w:pPr>
        <w:pStyle w:val="pboth1"/>
        <w:spacing w:before="0" w:beforeAutospacing="0" w:after="0" w:line="360" w:lineRule="auto"/>
      </w:pPr>
      <w:bookmarkStart w:id="6" w:name="100010"/>
      <w:bookmarkEnd w:id="6"/>
      <w:r>
        <w:t xml:space="preserve">      </w:t>
      </w:r>
      <w:r w:rsidR="00010B6E" w:rsidRPr="003071F9">
        <w:t xml:space="preserve">1. В соответствии с </w:t>
      </w:r>
      <w:hyperlink r:id="rId7" w:anchor="000285" w:history="1">
        <w:r w:rsidR="00010B6E" w:rsidRPr="003071F9">
          <w:rPr>
            <w:rStyle w:val="a5"/>
            <w:color w:val="auto"/>
            <w:u w:val="none"/>
          </w:rPr>
          <w:t>п. 1 ч. 2 ст. 8.2</w:t>
        </w:r>
      </w:hyperlink>
      <w:r w:rsidR="00010B6E" w:rsidRPr="003071F9">
        <w:t xml:space="preserve"> Федерального закона на официальном сайте Межрегионального управления №135 ФМБА России органов  в сети "Интернет" для каждого вида государственного контроля размещаются перечни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а также тексты соответствующих нормативных правовых актов.</w:t>
      </w:r>
    </w:p>
    <w:p w:rsidR="00010B6E" w:rsidRPr="003071F9" w:rsidRDefault="00D1413E" w:rsidP="00D1413E">
      <w:pPr>
        <w:pStyle w:val="pboth1"/>
        <w:spacing w:before="0" w:beforeAutospacing="0" w:after="0" w:line="360" w:lineRule="auto"/>
      </w:pPr>
      <w:bookmarkStart w:id="7" w:name="100011"/>
      <w:bookmarkEnd w:id="7"/>
      <w:r>
        <w:t xml:space="preserve">     </w:t>
      </w:r>
      <w:r w:rsidR="00010B6E" w:rsidRPr="003071F9">
        <w:t>Перечень нормативных правовых актов, исполнение которых проверяется Межрегиональным управлением № 135 ФМБА России, утвержден приказом ФМБА России от 30.12.2016 N 288 "Об утверждении Перечня правовых актов, содержащих обязательные требования, соблюдение которых оценивается при проведении мероприятий по контролю ФМБА России и его территориальными органами".</w:t>
      </w:r>
    </w:p>
    <w:p w:rsidR="00010B6E" w:rsidRPr="00D1413E" w:rsidRDefault="00D1413E" w:rsidP="00D1413E">
      <w:pPr>
        <w:pStyle w:val="pboth1"/>
        <w:spacing w:before="0" w:beforeAutospacing="0" w:after="0" w:line="360" w:lineRule="auto"/>
      </w:pPr>
      <w:bookmarkStart w:id="8" w:name="100012"/>
      <w:bookmarkEnd w:id="8"/>
      <w:r>
        <w:lastRenderedPageBreak/>
        <w:t xml:space="preserve">     </w:t>
      </w:r>
      <w:r w:rsidR="00010B6E" w:rsidRPr="003071F9">
        <w:t>Перечень нормативных правовых актов и их тексты размещены на официальном сайте Межрегионального управления № 135 ФМБА России в подразделе "Пер</w:t>
      </w:r>
      <w:r>
        <w:t>ечень обязательных требований" раздела "Деятельность</w:t>
      </w:r>
      <w:r w:rsidR="00010B6E" w:rsidRPr="003071F9">
        <w:t>" по адресу:</w:t>
      </w:r>
      <w:r>
        <w:t xml:space="preserve"> </w:t>
      </w:r>
      <w:r>
        <w:rPr>
          <w:lang w:val="en-US"/>
        </w:rPr>
        <w:t>http</w:t>
      </w:r>
      <w:r>
        <w:t>://</w:t>
      </w:r>
      <w:r w:rsidR="00010B6E" w:rsidRPr="003071F9">
        <w:t xml:space="preserve"> </w:t>
      </w:r>
      <w:proofErr w:type="spellStart"/>
      <w:r w:rsidR="00010B6E" w:rsidRPr="003071F9">
        <w:rPr>
          <w:lang w:val="en-US"/>
        </w:rPr>
        <w:t>mru</w:t>
      </w:r>
      <w:proofErr w:type="spellEnd"/>
      <w:r w:rsidR="00010B6E" w:rsidRPr="003071F9">
        <w:t>135.</w:t>
      </w:r>
      <w:proofErr w:type="spellStart"/>
      <w:r w:rsidR="00010B6E" w:rsidRPr="003071F9">
        <w:rPr>
          <w:lang w:val="en-US"/>
        </w:rPr>
        <w:t>fmbaros</w:t>
      </w:r>
      <w:proofErr w:type="spellEnd"/>
      <w:r w:rsidR="00010B6E" w:rsidRPr="003071F9">
        <w:t>.</w:t>
      </w:r>
      <w:proofErr w:type="spellStart"/>
      <w:r w:rsidR="00010B6E" w:rsidRPr="003071F9">
        <w:rPr>
          <w:lang w:val="en-US"/>
        </w:rPr>
        <w:t>ru</w:t>
      </w:r>
      <w:proofErr w:type="spellEnd"/>
      <w:r>
        <w:t>/</w:t>
      </w:r>
    </w:p>
    <w:p w:rsidR="00010B6E" w:rsidRPr="00DF7B60" w:rsidRDefault="00D1413E" w:rsidP="00D1413E">
      <w:pPr>
        <w:pStyle w:val="pboth1"/>
        <w:spacing w:before="0" w:beforeAutospacing="0" w:after="0" w:line="360" w:lineRule="auto"/>
        <w:rPr>
          <w:rFonts w:ascii="Open Sans" w:hAnsi="Open Sans"/>
          <w:sz w:val="23"/>
          <w:szCs w:val="23"/>
        </w:rPr>
      </w:pPr>
      <w:bookmarkStart w:id="9" w:name="100013"/>
      <w:bookmarkEnd w:id="9"/>
      <w:r w:rsidRPr="00D1413E">
        <w:t xml:space="preserve">    </w:t>
      </w:r>
      <w:r w:rsidR="00010B6E" w:rsidRPr="003071F9">
        <w:t>Комментарии и предложения в отношении содержания перечня правовых актов, содержащих обязательные требования, соблюдение которых оценивается при проведении мероприятий по контролю при осуществлении</w:t>
      </w:r>
      <w:r w:rsidR="00010B6E">
        <w:rPr>
          <w:rFonts w:ascii="Open Sans" w:hAnsi="Open Sans"/>
          <w:sz w:val="23"/>
          <w:szCs w:val="23"/>
        </w:rPr>
        <w:t xml:space="preserve"> государственного контроля за обеспечением безопасности донорской крови и ее компонентов, могут быть направлены заинтересованными лицами через </w:t>
      </w:r>
      <w:r>
        <w:rPr>
          <w:rFonts w:ascii="Open Sans" w:hAnsi="Open Sans"/>
          <w:sz w:val="23"/>
          <w:szCs w:val="23"/>
        </w:rPr>
        <w:t>форму обратной связи по адресу:</w:t>
      </w:r>
      <w:r w:rsidR="00010B6E" w:rsidRPr="00DF7B60">
        <w:rPr>
          <w:color w:val="FF0000"/>
          <w:sz w:val="23"/>
          <w:szCs w:val="23"/>
        </w:rPr>
        <w:t xml:space="preserve"> </w:t>
      </w:r>
      <w:proofErr w:type="spellStart"/>
      <w:r w:rsidR="00010B6E" w:rsidRPr="00DF7B60">
        <w:rPr>
          <w:sz w:val="23"/>
          <w:szCs w:val="23"/>
          <w:lang w:val="en-US"/>
        </w:rPr>
        <w:t>mru</w:t>
      </w:r>
      <w:proofErr w:type="spellEnd"/>
      <w:r w:rsidR="00010B6E" w:rsidRPr="00DF7B60">
        <w:rPr>
          <w:sz w:val="23"/>
          <w:szCs w:val="23"/>
        </w:rPr>
        <w:t>135@</w:t>
      </w:r>
      <w:r>
        <w:rPr>
          <w:sz w:val="23"/>
          <w:szCs w:val="23"/>
          <w:lang w:val="en-US"/>
        </w:rPr>
        <w:t>mai</w:t>
      </w:r>
      <w:r w:rsidR="00010B6E">
        <w:rPr>
          <w:sz w:val="23"/>
          <w:szCs w:val="23"/>
          <w:lang w:val="en-US"/>
        </w:rPr>
        <w:t>l</w:t>
      </w:r>
      <w:r w:rsidR="00010B6E" w:rsidRPr="00DF7B60">
        <w:rPr>
          <w:sz w:val="23"/>
          <w:szCs w:val="23"/>
        </w:rPr>
        <w:t>.</w:t>
      </w:r>
      <w:proofErr w:type="spellStart"/>
      <w:r w:rsidR="00010B6E" w:rsidRPr="00DF7B60">
        <w:rPr>
          <w:sz w:val="23"/>
          <w:szCs w:val="23"/>
          <w:lang w:val="en-US"/>
        </w:rPr>
        <w:t>ru</w:t>
      </w:r>
      <w:proofErr w:type="spellEnd"/>
      <w:r w:rsidR="00010B6E" w:rsidRPr="00D1413E">
        <w:rPr>
          <w:sz w:val="23"/>
          <w:szCs w:val="23"/>
        </w:rPr>
        <w:t>.</w:t>
      </w:r>
    </w:p>
    <w:p w:rsidR="00010B6E" w:rsidRDefault="00D1413E" w:rsidP="00D1413E">
      <w:pPr>
        <w:pStyle w:val="pboth1"/>
        <w:spacing w:before="0" w:beforeAutospacing="0" w:after="0" w:line="360" w:lineRule="auto"/>
        <w:rPr>
          <w:rFonts w:ascii="Open Sans" w:hAnsi="Open Sans"/>
          <w:sz w:val="23"/>
          <w:szCs w:val="23"/>
        </w:rPr>
      </w:pPr>
      <w:bookmarkStart w:id="10" w:name="100014"/>
      <w:bookmarkEnd w:id="10"/>
      <w:r w:rsidRPr="00B8617D">
        <w:rPr>
          <w:rFonts w:ascii="Open Sans" w:hAnsi="Open Sans"/>
          <w:sz w:val="23"/>
          <w:szCs w:val="23"/>
        </w:rPr>
        <w:t xml:space="preserve">     </w:t>
      </w:r>
      <w:r w:rsidR="00010B6E">
        <w:rPr>
          <w:rFonts w:ascii="Open Sans" w:hAnsi="Open Sans"/>
          <w:sz w:val="23"/>
          <w:szCs w:val="23"/>
        </w:rPr>
        <w:t xml:space="preserve">2. В соответствии со </w:t>
      </w:r>
      <w:hyperlink r:id="rId8" w:anchor="000282" w:history="1">
        <w:r w:rsidR="00010B6E" w:rsidRPr="00D1413E">
          <w:rPr>
            <w:rStyle w:val="a5"/>
            <w:color w:val="auto"/>
            <w:sz w:val="23"/>
            <w:szCs w:val="23"/>
            <w:u w:val="none"/>
          </w:rPr>
          <w:t>ст. 8.2</w:t>
        </w:r>
      </w:hyperlink>
      <w:r w:rsidR="00010B6E">
        <w:rPr>
          <w:rFonts w:ascii="Open Sans" w:hAnsi="Open Sans"/>
          <w:sz w:val="23"/>
          <w:szCs w:val="23"/>
        </w:rPr>
        <w:t xml:space="preserve"> Федерального закона,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государственного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010B6E" w:rsidRPr="009C0DBF" w:rsidRDefault="00010B6E" w:rsidP="009C0DBF">
      <w:pPr>
        <w:pStyle w:val="pboth1"/>
        <w:spacing w:before="0" w:beforeAutospacing="0" w:after="0" w:line="360" w:lineRule="auto"/>
      </w:pPr>
      <w:bookmarkStart w:id="11" w:name="100015"/>
      <w:bookmarkEnd w:id="11"/>
      <w:r>
        <w:rPr>
          <w:rFonts w:ascii="Open Sans" w:hAnsi="Open Sans"/>
          <w:sz w:val="23"/>
          <w:szCs w:val="23"/>
        </w:rPr>
        <w:t>Программа профилактики нарушений обязательных требований законодательства о донорстве крови и ее компонентов на 201</w:t>
      </w:r>
      <w:r w:rsidRPr="00DF7B60">
        <w:rPr>
          <w:sz w:val="23"/>
          <w:szCs w:val="23"/>
        </w:rPr>
        <w:t>8</w:t>
      </w:r>
      <w:r>
        <w:rPr>
          <w:rFonts w:ascii="Open Sans" w:hAnsi="Open Sans"/>
          <w:sz w:val="23"/>
          <w:szCs w:val="23"/>
        </w:rPr>
        <w:t xml:space="preserve"> год, предусмотренная </w:t>
      </w:r>
      <w:hyperlink r:id="rId9" w:anchor="000283" w:history="1">
        <w:r w:rsidRPr="00B8617D">
          <w:rPr>
            <w:rStyle w:val="a5"/>
            <w:rFonts w:ascii="Open Sans" w:hAnsi="Open Sans"/>
            <w:color w:val="auto"/>
            <w:sz w:val="23"/>
            <w:szCs w:val="23"/>
            <w:u w:val="none"/>
          </w:rPr>
          <w:t>ч. 1 ст. 8.2</w:t>
        </w:r>
      </w:hyperlink>
      <w:r>
        <w:rPr>
          <w:rFonts w:ascii="Open Sans" w:hAnsi="Open Sans"/>
          <w:sz w:val="23"/>
          <w:szCs w:val="23"/>
        </w:rPr>
        <w:t xml:space="preserve"> Закона N 294-ФЗ опубликована на сайте </w:t>
      </w:r>
      <w:r w:rsidRPr="00DF7B60">
        <w:rPr>
          <w:sz w:val="23"/>
          <w:szCs w:val="23"/>
        </w:rPr>
        <w:t>Межрегионального управления №135</w:t>
      </w:r>
      <w:r w:rsidRPr="00DF7B60">
        <w:rPr>
          <w:color w:val="FF0000"/>
          <w:sz w:val="23"/>
          <w:szCs w:val="23"/>
        </w:rPr>
        <w:t xml:space="preserve"> </w:t>
      </w:r>
      <w:r>
        <w:rPr>
          <w:rFonts w:ascii="Open Sans" w:hAnsi="Open Sans"/>
          <w:sz w:val="23"/>
          <w:szCs w:val="23"/>
        </w:rPr>
        <w:t xml:space="preserve">ФМБА России </w:t>
      </w:r>
      <w:r w:rsidRPr="00E108FB">
        <w:rPr>
          <w:rFonts w:ascii="Open Sans" w:hAnsi="Open Sans"/>
          <w:sz w:val="23"/>
          <w:szCs w:val="23"/>
        </w:rPr>
        <w:t>в подр</w:t>
      </w:r>
      <w:r w:rsidR="00B8617D">
        <w:rPr>
          <w:rFonts w:ascii="Open Sans" w:hAnsi="Open Sans"/>
          <w:sz w:val="23"/>
          <w:szCs w:val="23"/>
        </w:rPr>
        <w:t xml:space="preserve">азделе </w:t>
      </w:r>
      <w:r w:rsidR="00B8617D" w:rsidRPr="009C0DBF">
        <w:t>"Профилактика нарушений</w:t>
      </w:r>
      <w:r w:rsidR="009C0DBF" w:rsidRPr="009C0DBF">
        <w:t>" раздела "Деятельность</w:t>
      </w:r>
      <w:r w:rsidRPr="009C0DBF">
        <w:t>".</w:t>
      </w:r>
    </w:p>
    <w:p w:rsidR="00010B6E" w:rsidRPr="009C0DBF" w:rsidRDefault="009C0DBF" w:rsidP="009C0DBF">
      <w:pPr>
        <w:pStyle w:val="pboth1"/>
        <w:spacing w:before="0" w:beforeAutospacing="0" w:after="0" w:line="360" w:lineRule="auto"/>
      </w:pPr>
      <w:bookmarkStart w:id="12" w:name="100016"/>
      <w:bookmarkEnd w:id="12"/>
      <w:r>
        <w:t xml:space="preserve">    </w:t>
      </w:r>
      <w:r w:rsidR="00010B6E" w:rsidRPr="009C0DBF">
        <w:t xml:space="preserve">3. В соответствии с </w:t>
      </w:r>
      <w:hyperlink r:id="rId10" w:anchor="000291" w:history="1">
        <w:r w:rsidR="00010B6E" w:rsidRPr="009C0DBF">
          <w:rPr>
            <w:rStyle w:val="a5"/>
            <w:color w:val="auto"/>
            <w:u w:val="none"/>
          </w:rPr>
          <w:t>ч. 5 ст. 8.2</w:t>
        </w:r>
      </w:hyperlink>
      <w:r w:rsidR="00010B6E" w:rsidRPr="009C0DBF">
        <w:t xml:space="preserve"> Федерального закона предусмотрено направление органами государственного контроля юридическим лицам, индивидуальным предпринимателям предостережения о недопустимости нарушения обязательных требований при наличии у органа государственного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w:t>
      </w:r>
      <w:r w:rsidR="00010B6E">
        <w:rPr>
          <w:rFonts w:ascii="Open Sans" w:hAnsi="Open Sans"/>
          <w:sz w:val="23"/>
          <w:szCs w:val="23"/>
        </w:rPr>
        <w:t xml:space="preserve">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либо создало </w:t>
      </w:r>
      <w:r w:rsidR="00010B6E" w:rsidRPr="009C0DBF">
        <w:t>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w:t>
      </w:r>
    </w:p>
    <w:p w:rsidR="00010B6E" w:rsidRPr="009C0DBF" w:rsidRDefault="00010B6E" w:rsidP="009C0DBF">
      <w:pPr>
        <w:pStyle w:val="pboth1"/>
        <w:spacing w:before="0" w:beforeAutospacing="0" w:after="0" w:line="360" w:lineRule="auto"/>
      </w:pPr>
      <w:bookmarkStart w:id="13" w:name="100017"/>
      <w:bookmarkEnd w:id="13"/>
      <w:r w:rsidRPr="009C0DBF">
        <w:t xml:space="preserve">Порядок и сроки составления и направления предостережений, порядок подачи подконтрольным субъектом возражений на такое предостережение и сроки их рассмотрения органом государственного контроля, содержание предостережения о </w:t>
      </w:r>
      <w:r w:rsidRPr="009C0DBF">
        <w:lastRenderedPageBreak/>
        <w:t xml:space="preserve">недопустимости нарушения обязательных требований утверждены </w:t>
      </w:r>
      <w:hyperlink r:id="rId11" w:history="1">
        <w:r w:rsidRPr="009C0DBF">
          <w:rPr>
            <w:rStyle w:val="a5"/>
            <w:color w:val="auto"/>
            <w:u w:val="none"/>
          </w:rPr>
          <w:t>постановлением</w:t>
        </w:r>
      </w:hyperlink>
      <w:r w:rsidRPr="009C0DBF">
        <w:t xml:space="preserve"> Правительства РФ от 10.02.2017 N 166.</w:t>
      </w:r>
    </w:p>
    <w:p w:rsidR="00010B6E" w:rsidRPr="009C0DBF" w:rsidRDefault="009C0DBF" w:rsidP="009C0DBF">
      <w:pPr>
        <w:pStyle w:val="pboth1"/>
        <w:spacing w:before="0" w:beforeAutospacing="0" w:after="0" w:line="360" w:lineRule="auto"/>
      </w:pPr>
      <w:bookmarkStart w:id="14" w:name="100018"/>
      <w:bookmarkEnd w:id="14"/>
      <w:r>
        <w:t xml:space="preserve">     </w:t>
      </w:r>
      <w:r w:rsidR="00010B6E" w:rsidRPr="009C0DBF">
        <w:t xml:space="preserve">4. В соответствии со </w:t>
      </w:r>
      <w:hyperlink r:id="rId12" w:anchor="000294" w:history="1">
        <w:r w:rsidR="00010B6E" w:rsidRPr="009C0DBF">
          <w:rPr>
            <w:rStyle w:val="a5"/>
            <w:color w:val="auto"/>
            <w:u w:val="none"/>
          </w:rPr>
          <w:t>ст. 8.3</w:t>
        </w:r>
      </w:hyperlink>
      <w:r w:rsidR="00010B6E" w:rsidRPr="009C0DBF">
        <w:t xml:space="preserve"> Федерального закона определены основные понятия мероприятий по контролю без взаимодействия с юридическими лицами, индивидуальными предпринимателями.</w:t>
      </w:r>
    </w:p>
    <w:p w:rsidR="00010B6E" w:rsidRPr="009C0DBF" w:rsidRDefault="004B4272" w:rsidP="009C0DBF">
      <w:pPr>
        <w:pStyle w:val="pboth1"/>
        <w:spacing w:before="0" w:beforeAutospacing="0" w:after="0" w:line="360" w:lineRule="auto"/>
      </w:pPr>
      <w:bookmarkStart w:id="15" w:name="100019"/>
      <w:bookmarkEnd w:id="15"/>
      <w:r>
        <w:t xml:space="preserve">     </w:t>
      </w:r>
      <w:r w:rsidR="00010B6E" w:rsidRPr="009C0DBF">
        <w:t>К мероприятиям по контролю без взаимодействия с юридическими лицами, индивидуальными предпринимателями относятся, в том числе:</w:t>
      </w:r>
    </w:p>
    <w:p w:rsidR="00010B6E" w:rsidRPr="009C0DBF" w:rsidRDefault="004B4272" w:rsidP="009C0DBF">
      <w:pPr>
        <w:pStyle w:val="pboth1"/>
        <w:spacing w:before="0" w:beforeAutospacing="0" w:after="0" w:line="360" w:lineRule="auto"/>
      </w:pPr>
      <w:bookmarkStart w:id="16" w:name="100020"/>
      <w:bookmarkEnd w:id="16"/>
      <w:r>
        <w:t xml:space="preserve">    </w:t>
      </w:r>
      <w:r w:rsidR="00010B6E" w:rsidRPr="009C0DBF">
        <w:t>1)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
    <w:p w:rsidR="00010B6E" w:rsidRPr="009C0DBF" w:rsidRDefault="004B4272" w:rsidP="009C0DBF">
      <w:pPr>
        <w:pStyle w:val="pboth1"/>
        <w:spacing w:before="0" w:beforeAutospacing="0" w:after="0" w:line="360" w:lineRule="auto"/>
      </w:pPr>
      <w:bookmarkStart w:id="17" w:name="100021"/>
      <w:bookmarkEnd w:id="17"/>
      <w:r>
        <w:t xml:space="preserve">   </w:t>
      </w:r>
      <w:r w:rsidR="00010B6E" w:rsidRPr="009C0DBF">
        <w:t>2) другие виды и формы мероприятий по контролю, установленные федеральными законами.</w:t>
      </w:r>
    </w:p>
    <w:p w:rsidR="00010B6E" w:rsidRPr="009C0DBF" w:rsidRDefault="004B4272" w:rsidP="009C0DBF">
      <w:pPr>
        <w:pStyle w:val="pboth1"/>
        <w:spacing w:before="0" w:beforeAutospacing="0" w:after="0" w:line="360" w:lineRule="auto"/>
      </w:pPr>
      <w:bookmarkStart w:id="18" w:name="100022"/>
      <w:bookmarkEnd w:id="18"/>
      <w:r>
        <w:t xml:space="preserve">    </w:t>
      </w:r>
      <w:r w:rsidR="00010B6E" w:rsidRPr="009C0DBF">
        <w:t>По результатам таких мероприятий юридическим лицам, индивидуальным предпринимателям может быть направлено предостережение о недопустимости нарушения обязательных требований.</w:t>
      </w:r>
      <w:bookmarkStart w:id="19" w:name="100023"/>
      <w:bookmarkEnd w:id="19"/>
    </w:p>
    <w:p w:rsidR="00010B6E" w:rsidRPr="009C0DBF" w:rsidRDefault="004B4272" w:rsidP="009C0DBF">
      <w:pPr>
        <w:pStyle w:val="pboth1"/>
        <w:spacing w:before="0" w:beforeAutospacing="0" w:after="0" w:line="360" w:lineRule="auto"/>
      </w:pPr>
      <w:r>
        <w:t xml:space="preserve">   </w:t>
      </w:r>
      <w:r w:rsidR="00010B6E" w:rsidRPr="009C0DBF">
        <w:t xml:space="preserve">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должностные лица органа государственного контроля принимают в пределах своей компетенции меры по пресечению таких нарушений, а также направляют письменное </w:t>
      </w:r>
    </w:p>
    <w:p w:rsidR="00010B6E" w:rsidRPr="004B4272" w:rsidRDefault="00010B6E" w:rsidP="004B4272">
      <w:pPr>
        <w:pStyle w:val="pboth1"/>
        <w:spacing w:before="0" w:beforeAutospacing="0" w:after="0" w:line="360" w:lineRule="auto"/>
      </w:pPr>
      <w:r w:rsidRPr="009C0DBF">
        <w:t xml:space="preserve">мотивированное представление с информацией о выявленных нарушениях, которое является основанием для проведения внеплановой проверки согласно новой редакции </w:t>
      </w:r>
      <w:hyperlink r:id="rId13" w:anchor="000318" w:history="1">
        <w:r w:rsidRPr="004B4272">
          <w:rPr>
            <w:rStyle w:val="a5"/>
            <w:color w:val="auto"/>
            <w:u w:val="none"/>
          </w:rPr>
          <w:t>п. 2 ч. 2 ст. 10</w:t>
        </w:r>
      </w:hyperlink>
      <w:r w:rsidRPr="004B4272">
        <w:t xml:space="preserve"> Федерального закона.</w:t>
      </w:r>
    </w:p>
    <w:p w:rsidR="00010B6E" w:rsidRPr="004B4272" w:rsidRDefault="004B4272" w:rsidP="004B4272">
      <w:pPr>
        <w:pStyle w:val="pboth1"/>
        <w:spacing w:before="0" w:beforeAutospacing="0" w:after="0" w:line="360" w:lineRule="auto"/>
      </w:pPr>
      <w:bookmarkStart w:id="20" w:name="100024"/>
      <w:bookmarkStart w:id="21" w:name="100030"/>
      <w:bookmarkEnd w:id="20"/>
      <w:bookmarkEnd w:id="21"/>
      <w:r w:rsidRPr="004B4272">
        <w:t xml:space="preserve">    5</w:t>
      </w:r>
      <w:r w:rsidR="00010B6E" w:rsidRPr="004B4272">
        <w:t xml:space="preserve">. В соответствии с </w:t>
      </w:r>
      <w:hyperlink r:id="rId14" w:anchor="000316" w:history="1">
        <w:r w:rsidR="00010B6E" w:rsidRPr="004B4272">
          <w:rPr>
            <w:rStyle w:val="a5"/>
            <w:color w:val="auto"/>
            <w:u w:val="none"/>
          </w:rPr>
          <w:t>ч. 12 ст. 9</w:t>
        </w:r>
      </w:hyperlink>
      <w:r w:rsidR="00010B6E" w:rsidRPr="004B4272">
        <w:t xml:space="preserve">, </w:t>
      </w:r>
      <w:hyperlink r:id="rId15" w:anchor="000328" w:history="1">
        <w:r w:rsidR="00010B6E" w:rsidRPr="004B4272">
          <w:rPr>
            <w:rStyle w:val="a5"/>
            <w:color w:val="auto"/>
            <w:u w:val="none"/>
          </w:rPr>
          <w:t>ч. 16 ст. 10</w:t>
        </w:r>
      </w:hyperlink>
      <w:r w:rsidR="00010B6E" w:rsidRPr="004B4272">
        <w:t xml:space="preserve"> Федерального закона уточнены способы возможного уведомления юридического лица, индивидуального предпринимателя о проведении проверки.</w:t>
      </w:r>
    </w:p>
    <w:p w:rsidR="00010B6E" w:rsidRPr="006C0D47" w:rsidRDefault="004B4272" w:rsidP="006C0D47">
      <w:pPr>
        <w:pStyle w:val="pboth1"/>
        <w:spacing w:before="0" w:beforeAutospacing="0" w:after="0" w:line="360" w:lineRule="auto"/>
      </w:pPr>
      <w:bookmarkStart w:id="22" w:name="100031"/>
      <w:bookmarkEnd w:id="22"/>
      <w:r w:rsidRPr="004B4272">
        <w:t xml:space="preserve">   </w:t>
      </w:r>
      <w:r w:rsidR="00010B6E" w:rsidRPr="004B4272">
        <w:t xml:space="preserve">Так, установлено, что проверяемое лицо должно быть уведомлено не позднее чем за три рабочих дня до начала проведения плановой проверки (за 24 часа до проведения внеплановой выездной проверки) посредством направления копии распоряжения или приказа о проведении проверки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в едином государственном реестре юридических лиц, едином государственном реестре индивидуальных предпринимателей либо ранее был представлен </w:t>
      </w:r>
      <w:r w:rsidR="00010B6E" w:rsidRPr="004B4272">
        <w:lastRenderedPageBreak/>
        <w:t xml:space="preserve">юридическим лицом, индивидуальным предпринимателем в орган государственного </w:t>
      </w:r>
      <w:r w:rsidR="00010B6E" w:rsidRPr="006C0D47">
        <w:t>контроля.</w:t>
      </w:r>
      <w:bookmarkStart w:id="23" w:name="100032"/>
      <w:bookmarkEnd w:id="23"/>
    </w:p>
    <w:p w:rsidR="00010B6E" w:rsidRPr="006C0D47" w:rsidRDefault="006C0D47" w:rsidP="006C0D47">
      <w:pPr>
        <w:pStyle w:val="pboth1"/>
        <w:spacing w:before="0" w:beforeAutospacing="0" w:after="0" w:line="360" w:lineRule="auto"/>
      </w:pPr>
      <w:bookmarkStart w:id="24" w:name="100046"/>
      <w:bookmarkEnd w:id="24"/>
      <w:r>
        <w:t xml:space="preserve">    </w:t>
      </w:r>
      <w:r w:rsidRPr="006C0D47">
        <w:t>6</w:t>
      </w:r>
      <w:r w:rsidR="00010B6E" w:rsidRPr="006C0D47">
        <w:t xml:space="preserve">. В </w:t>
      </w:r>
      <w:hyperlink r:id="rId16" w:anchor="000330" w:history="1">
        <w:r w:rsidR="00010B6E" w:rsidRPr="006C0D47">
          <w:rPr>
            <w:rStyle w:val="a5"/>
            <w:color w:val="auto"/>
            <w:u w:val="none"/>
          </w:rPr>
          <w:t>ч. 10 ст. 11</w:t>
        </w:r>
      </w:hyperlink>
      <w:r w:rsidR="00010B6E" w:rsidRPr="006C0D47">
        <w:t xml:space="preserve"> Федерального закона введена норма по запрету на истребование от </w:t>
      </w:r>
    </w:p>
    <w:p w:rsidR="00010B6E" w:rsidRPr="006C0D47" w:rsidRDefault="00010B6E" w:rsidP="006C0D47">
      <w:pPr>
        <w:pStyle w:val="pboth1"/>
        <w:spacing w:before="0" w:beforeAutospacing="0" w:after="0" w:line="360" w:lineRule="auto"/>
      </w:pPr>
      <w:r w:rsidRPr="006C0D47">
        <w:t>юридического лица, индивидуального предпринимателя при проведении выездной проверки документов и (или) информации, которые были представлены ими в ходе проведения документарной проверки.</w:t>
      </w:r>
    </w:p>
    <w:p w:rsidR="00010B6E" w:rsidRPr="006C0D47" w:rsidRDefault="006C0D47" w:rsidP="006C0D47">
      <w:pPr>
        <w:pStyle w:val="pboth1"/>
        <w:spacing w:before="0" w:beforeAutospacing="0" w:after="0" w:line="360" w:lineRule="auto"/>
      </w:pPr>
      <w:bookmarkStart w:id="25" w:name="100047"/>
      <w:bookmarkEnd w:id="25"/>
      <w:r>
        <w:t xml:space="preserve">    </w:t>
      </w:r>
      <w:r w:rsidRPr="006C0D47">
        <w:t>7</w:t>
      </w:r>
      <w:r w:rsidR="00010B6E" w:rsidRPr="006C0D47">
        <w:t xml:space="preserve">. В соответствии с </w:t>
      </w:r>
      <w:hyperlink r:id="rId17" w:anchor="000331" w:history="1">
        <w:r w:rsidR="00010B6E" w:rsidRPr="006C0D47">
          <w:rPr>
            <w:rStyle w:val="a5"/>
            <w:color w:val="auto"/>
            <w:u w:val="none"/>
          </w:rPr>
          <w:t>ч. 7 ст. 12</w:t>
        </w:r>
      </w:hyperlink>
      <w:r w:rsidR="00010B6E" w:rsidRPr="006C0D47">
        <w:t xml:space="preserve"> вступили в силу положения, определяющие порядок действий органа государственного контроля в случае невозможности проведения проверки, положения, предусматривающие составление акта о невозможности проведения проверки.</w:t>
      </w:r>
    </w:p>
    <w:p w:rsidR="00010B6E" w:rsidRPr="006C0D47" w:rsidRDefault="00010B6E" w:rsidP="006C0D47">
      <w:pPr>
        <w:pStyle w:val="pboth1"/>
        <w:spacing w:before="0" w:beforeAutospacing="0" w:after="0" w:line="360" w:lineRule="auto"/>
      </w:pPr>
      <w:bookmarkStart w:id="26" w:name="100048"/>
      <w:bookmarkEnd w:id="26"/>
      <w:r w:rsidRPr="006C0D47">
        <w:t>В частности, должностное лицо органа государственного контроля составляет акт о невозможности проведения проверки с указанием причин невозможности ее проведения в случаях, если проведение плановой или внеплановой выездной проверки оказалось невозможным в связи с:</w:t>
      </w:r>
    </w:p>
    <w:p w:rsidR="00010B6E" w:rsidRPr="006C0D47" w:rsidRDefault="00010B6E" w:rsidP="006C0D47">
      <w:pPr>
        <w:pStyle w:val="pboth1"/>
        <w:spacing w:before="0" w:beforeAutospacing="0" w:after="0" w:line="360" w:lineRule="auto"/>
      </w:pPr>
      <w:bookmarkStart w:id="27" w:name="100049"/>
      <w:bookmarkEnd w:id="27"/>
      <w:r w:rsidRPr="006C0D47">
        <w:t>1) отсутствием индивидуального предпринимателя, его уполномоченного представителя, руководителя или иного должностного лица юридического лица;</w:t>
      </w:r>
    </w:p>
    <w:p w:rsidR="00010B6E" w:rsidRPr="006C0D47" w:rsidRDefault="00010B6E" w:rsidP="006C0D47">
      <w:pPr>
        <w:pStyle w:val="pboth1"/>
        <w:spacing w:before="0" w:beforeAutospacing="0" w:after="0" w:line="360" w:lineRule="auto"/>
      </w:pPr>
      <w:bookmarkStart w:id="28" w:name="100050"/>
      <w:bookmarkEnd w:id="28"/>
      <w:r w:rsidRPr="006C0D47">
        <w:t>2) фактическим неосуществлением деятельности юридическим лицом, индивидуальным предпринимателем;</w:t>
      </w:r>
    </w:p>
    <w:p w:rsidR="00010B6E" w:rsidRPr="006C0D47" w:rsidRDefault="00010B6E" w:rsidP="006C0D47">
      <w:pPr>
        <w:pStyle w:val="pboth1"/>
        <w:spacing w:before="0" w:beforeAutospacing="0" w:after="0" w:line="360" w:lineRule="auto"/>
      </w:pPr>
      <w:bookmarkStart w:id="29" w:name="100051"/>
      <w:bookmarkEnd w:id="29"/>
      <w:r w:rsidRPr="006C0D47">
        <w:t>3)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w:t>
      </w:r>
    </w:p>
    <w:p w:rsidR="00010B6E" w:rsidRPr="006C0D47" w:rsidRDefault="00010B6E" w:rsidP="006C0D47">
      <w:pPr>
        <w:pStyle w:val="pboth1"/>
        <w:spacing w:before="0" w:beforeAutospacing="0" w:after="0" w:line="360" w:lineRule="auto"/>
      </w:pPr>
      <w:bookmarkStart w:id="30" w:name="100052"/>
      <w:bookmarkEnd w:id="30"/>
      <w:r w:rsidRPr="006C0D47">
        <w:t xml:space="preserve">При этом необходимо отметить, что при выявлении виновных действий проверяемых лиц, направленных на воспрепятствование законной деятельности должностного лица органа государственного контроля по проведению проверок или уклонение от таких проверок, </w:t>
      </w:r>
    </w:p>
    <w:p w:rsidR="00010B6E" w:rsidRPr="006C0D47" w:rsidRDefault="00010B6E" w:rsidP="006C0D47">
      <w:pPr>
        <w:pStyle w:val="pboth1"/>
        <w:spacing w:before="0" w:beforeAutospacing="0" w:after="0" w:line="360" w:lineRule="auto"/>
      </w:pPr>
      <w:r w:rsidRPr="006C0D47">
        <w:t>Межрегиональное управлени</w:t>
      </w:r>
      <w:r w:rsidR="006C0D47">
        <w:t>е №135 ФМБА России уполномочено</w:t>
      </w:r>
      <w:r w:rsidRPr="006C0D47">
        <w:t xml:space="preserve"> возбуждать дело об административном правонарушении по </w:t>
      </w:r>
      <w:hyperlink r:id="rId18" w:anchor="007996" w:history="1">
        <w:r w:rsidRPr="006C0D47">
          <w:rPr>
            <w:rStyle w:val="a5"/>
            <w:color w:val="auto"/>
            <w:u w:val="none"/>
          </w:rPr>
          <w:t>ст. 19.4.1</w:t>
        </w:r>
      </w:hyperlink>
      <w:r w:rsidRPr="006C0D47">
        <w:t xml:space="preserve"> КоАП РФ с направлением соответствующих материалов для рассмотрения в суд.</w:t>
      </w:r>
    </w:p>
    <w:p w:rsidR="009A0C45" w:rsidRDefault="00010B6E" w:rsidP="006C0D47">
      <w:pPr>
        <w:pStyle w:val="pboth1"/>
        <w:spacing w:before="0" w:beforeAutospacing="0" w:after="0" w:line="360" w:lineRule="auto"/>
      </w:pPr>
      <w:bookmarkStart w:id="31" w:name="100053"/>
      <w:bookmarkEnd w:id="31"/>
      <w:r w:rsidRPr="006C0D47">
        <w:t>Кроме того, орган государственного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bookmarkStart w:id="32" w:name="100054"/>
      <w:bookmarkEnd w:id="32"/>
    </w:p>
    <w:p w:rsidR="00010B6E" w:rsidRPr="006C0D47" w:rsidRDefault="009A0C45" w:rsidP="006C0D47">
      <w:pPr>
        <w:pStyle w:val="pboth1"/>
        <w:spacing w:before="0" w:beforeAutospacing="0" w:after="0" w:line="360" w:lineRule="auto"/>
      </w:pPr>
      <w:r>
        <w:t xml:space="preserve"> </w:t>
      </w:r>
      <w:r w:rsidR="006C0D47">
        <w:t xml:space="preserve">  </w:t>
      </w:r>
      <w:r w:rsidR="006C0D47" w:rsidRPr="006C0D47">
        <w:t>8</w:t>
      </w:r>
      <w:r w:rsidR="00010B6E" w:rsidRPr="006C0D47">
        <w:t xml:space="preserve">. В </w:t>
      </w:r>
      <w:hyperlink r:id="rId19" w:anchor="000336" w:history="1">
        <w:r w:rsidR="00010B6E" w:rsidRPr="006C0D47">
          <w:rPr>
            <w:rStyle w:val="a5"/>
            <w:color w:val="auto"/>
            <w:u w:val="none"/>
          </w:rPr>
          <w:t>ч. 9 ст. 15</w:t>
        </w:r>
      </w:hyperlink>
      <w:r w:rsidR="00010B6E" w:rsidRPr="006C0D47">
        <w:t xml:space="preserve"> Федерального закона предусмотрено, что при проведении проверки должностные лица органа государственного контроля не вправе требовать от юридического </w:t>
      </w:r>
      <w:r w:rsidR="00010B6E" w:rsidRPr="006C0D47">
        <w:lastRenderedPageBreak/>
        <w:t>лица, индивидуального предпринимателя представления документов, информации до даты начала проведения проверки.</w:t>
      </w:r>
    </w:p>
    <w:p w:rsidR="006C0D47" w:rsidRDefault="00010B6E" w:rsidP="003048BD">
      <w:pPr>
        <w:pStyle w:val="pboth1"/>
        <w:spacing w:before="0" w:beforeAutospacing="0" w:after="0" w:line="360" w:lineRule="auto"/>
      </w:pPr>
      <w:bookmarkStart w:id="33" w:name="100058"/>
      <w:bookmarkEnd w:id="33"/>
      <w:r w:rsidRPr="006C0D47">
        <w:t>Вместе с тем, орган государственного контроля после издания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bookmarkStart w:id="34" w:name="100059"/>
      <w:bookmarkEnd w:id="34"/>
    </w:p>
    <w:p w:rsidR="00010B6E" w:rsidRPr="009A0C45" w:rsidRDefault="006C0D47" w:rsidP="006C0D47">
      <w:pPr>
        <w:pStyle w:val="pcenter1"/>
        <w:spacing w:before="0" w:beforeAutospacing="0" w:after="0" w:line="360" w:lineRule="auto"/>
        <w:rPr>
          <w:b/>
        </w:rPr>
      </w:pPr>
      <w:r w:rsidRPr="009A0C45">
        <w:rPr>
          <w:b/>
        </w:rPr>
        <w:t xml:space="preserve">3. </w:t>
      </w:r>
      <w:r w:rsidR="00010B6E" w:rsidRPr="009A0C45">
        <w:rPr>
          <w:b/>
        </w:rPr>
        <w:t>Государственный контроль за обеспечением безопасности</w:t>
      </w:r>
    </w:p>
    <w:p w:rsidR="00010B6E" w:rsidRPr="009A0C45" w:rsidRDefault="00010B6E" w:rsidP="006C0D47">
      <w:pPr>
        <w:pStyle w:val="pcenter1"/>
        <w:spacing w:before="0" w:beforeAutospacing="0" w:after="0" w:line="360" w:lineRule="auto"/>
        <w:rPr>
          <w:b/>
        </w:rPr>
      </w:pPr>
      <w:r w:rsidRPr="009A0C45">
        <w:rPr>
          <w:b/>
        </w:rPr>
        <w:t>донорской крови и ее компонентов</w:t>
      </w:r>
      <w:bookmarkStart w:id="35" w:name="100060"/>
      <w:bookmarkEnd w:id="35"/>
    </w:p>
    <w:p w:rsidR="00010B6E" w:rsidRPr="009A0C45" w:rsidRDefault="009A0C45" w:rsidP="009A0C45">
      <w:pPr>
        <w:pStyle w:val="pboth1"/>
        <w:spacing w:before="0" w:beforeAutospacing="0" w:after="0" w:line="360" w:lineRule="auto"/>
      </w:pPr>
      <w:r>
        <w:t xml:space="preserve">    </w:t>
      </w:r>
      <w:r w:rsidR="00010B6E" w:rsidRPr="009A0C45">
        <w:t xml:space="preserve">В соответствии со </w:t>
      </w:r>
      <w:hyperlink r:id="rId20" w:anchor="100137" w:history="1">
        <w:r w:rsidR="00010B6E" w:rsidRPr="009A0C45">
          <w:rPr>
            <w:rStyle w:val="a5"/>
            <w:color w:val="auto"/>
            <w:u w:val="none"/>
          </w:rPr>
          <w:t>ст. 19</w:t>
        </w:r>
      </w:hyperlink>
      <w:r w:rsidR="00010B6E" w:rsidRPr="009A0C45">
        <w:t xml:space="preserve"> Федерального закона от 20.07.2012 N 125-ФЗ "О донорстве крови и ее компонентов" государственный контроль в сфере обращения донорской крови и (или) ее компонентов включает в себя:</w:t>
      </w:r>
    </w:p>
    <w:p w:rsidR="00010B6E" w:rsidRPr="009A0C45" w:rsidRDefault="00010B6E" w:rsidP="009A0C45">
      <w:pPr>
        <w:pStyle w:val="pboth1"/>
        <w:spacing w:before="0" w:beforeAutospacing="0" w:after="0" w:line="360" w:lineRule="auto"/>
      </w:pPr>
      <w:bookmarkStart w:id="36" w:name="100061"/>
      <w:bookmarkEnd w:id="36"/>
      <w:r w:rsidRPr="009A0C45">
        <w:t xml:space="preserve">1) лицензионный контроль при осуществлении федеральным органом исполнительной власти, осуществляющим контроль и надзор в сфере здравоохранения, и в рамках переданных полномочий уполномоченными органами исполнительной власти субъектов Российской Федерации лицензирования медицинской деятельности в соответствии с Федеральным </w:t>
      </w:r>
      <w:hyperlink r:id="rId21" w:history="1">
        <w:r w:rsidRPr="009A0C45">
          <w:rPr>
            <w:rStyle w:val="a5"/>
            <w:color w:val="auto"/>
            <w:u w:val="none"/>
          </w:rPr>
          <w:t>законом</w:t>
        </w:r>
      </w:hyperlink>
      <w:r w:rsidRPr="009A0C45">
        <w:t xml:space="preserve"> от 4 мая 2011 года N 99-ФЗ "О лицензировании отдельных видов деятельности";</w:t>
      </w:r>
    </w:p>
    <w:p w:rsidR="00010B6E" w:rsidRPr="009A0C45" w:rsidRDefault="00010B6E" w:rsidP="009A0C45">
      <w:pPr>
        <w:pStyle w:val="pboth1"/>
        <w:spacing w:before="0" w:beforeAutospacing="0" w:after="0" w:line="360" w:lineRule="auto"/>
      </w:pPr>
      <w:bookmarkStart w:id="37" w:name="100062"/>
      <w:bookmarkEnd w:id="37"/>
      <w:r w:rsidRPr="009A0C45">
        <w:t xml:space="preserve">2) государственный контроль за обеспечением безопасности донорской крови и ее </w:t>
      </w:r>
    </w:p>
    <w:p w:rsidR="00010B6E" w:rsidRPr="009A0C45" w:rsidRDefault="00010B6E" w:rsidP="009A0C45">
      <w:pPr>
        <w:pStyle w:val="pboth1"/>
        <w:spacing w:before="0" w:beforeAutospacing="0" w:after="0" w:line="360" w:lineRule="auto"/>
      </w:pPr>
      <w:r w:rsidRPr="009A0C45">
        <w:t xml:space="preserve">компонентов при осуществлении уполномоченным федеральным органом исполнительной власти, осуществляющим функции по организации деятельности службы крови, контроля качества и безопасности медицинской деятельности в соответствии с Федеральным </w:t>
      </w:r>
      <w:hyperlink r:id="rId22" w:history="1">
        <w:r w:rsidRPr="009A0C45">
          <w:rPr>
            <w:rStyle w:val="a5"/>
            <w:color w:val="auto"/>
            <w:u w:val="none"/>
          </w:rPr>
          <w:t>законом</w:t>
        </w:r>
      </w:hyperlink>
      <w:r w:rsidRPr="009A0C45">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10B6E" w:rsidRPr="009A0C45" w:rsidRDefault="00010B6E" w:rsidP="009A0C45">
      <w:pPr>
        <w:pStyle w:val="pboth1"/>
        <w:spacing w:before="0" w:beforeAutospacing="0" w:after="0" w:line="360" w:lineRule="auto"/>
      </w:pPr>
      <w:bookmarkStart w:id="38" w:name="100063"/>
      <w:bookmarkEnd w:id="38"/>
      <w:r w:rsidRPr="009A0C45">
        <w:t xml:space="preserve">В соответствии с Административным регламентом Федерального медико-биологического агентства по исполнению государственной функции по контролю и надзору в сфере донорства крови и ее компонентов, утвержденным приказом </w:t>
      </w:r>
      <w:proofErr w:type="spellStart"/>
      <w:r w:rsidRPr="009A0C45">
        <w:t>Минздравсоцразвития</w:t>
      </w:r>
      <w:proofErr w:type="spellEnd"/>
      <w:r w:rsidRPr="009A0C45">
        <w:t xml:space="preserve"> РФ от 29.09.2011 N 1093н в рамках исполнения государственного контроля за обеспечением безопасности донорской крови и ее компонентов устанавливаются следующие административные процедуры:</w:t>
      </w:r>
    </w:p>
    <w:p w:rsidR="00010B6E" w:rsidRPr="009A0C45" w:rsidRDefault="00010B6E" w:rsidP="009A0C45">
      <w:pPr>
        <w:pStyle w:val="pboth1"/>
        <w:spacing w:before="0" w:beforeAutospacing="0" w:after="0" w:line="360" w:lineRule="auto"/>
      </w:pPr>
      <w:bookmarkStart w:id="39" w:name="100064"/>
      <w:bookmarkEnd w:id="39"/>
      <w:r w:rsidRPr="009A0C45">
        <w:t>1) Получение и анализ сведений о соблюдении организациями здравоохранения, науки и образования, а также их структурными подразделениями, осуществляющими заготовку, переработку, хранение, транспортировку, применение и обеспечение безопасности донорской крови и ее компонентов, обязательных требований в сфере донорства крови и ее компонентов;</w:t>
      </w:r>
    </w:p>
    <w:p w:rsidR="00010B6E" w:rsidRPr="009A0C45" w:rsidRDefault="00010B6E" w:rsidP="009A0C45">
      <w:pPr>
        <w:pStyle w:val="pboth1"/>
        <w:spacing w:before="0" w:beforeAutospacing="0" w:after="0" w:line="360" w:lineRule="auto"/>
      </w:pPr>
      <w:bookmarkStart w:id="40" w:name="100065"/>
      <w:bookmarkEnd w:id="40"/>
      <w:r w:rsidRPr="009A0C45">
        <w:lastRenderedPageBreak/>
        <w:t>2) Проведение проверок осуществления организациями здравоохранения, науки и образования, а также их структурными подразделениями, осуществляющими заготовку, переработку, хранение, транспортировку, применение и обеспечение безопасности донорской крови и ее компонентов, деятельности в сфере донорства крови и ее компонентов.</w:t>
      </w:r>
    </w:p>
    <w:p w:rsidR="00010B6E" w:rsidRPr="009A0C45" w:rsidRDefault="00010B6E" w:rsidP="009A0C45">
      <w:pPr>
        <w:pStyle w:val="pboth1"/>
        <w:spacing w:before="0" w:beforeAutospacing="0" w:after="0" w:line="360" w:lineRule="auto"/>
      </w:pPr>
      <w:bookmarkStart w:id="41" w:name="100066"/>
      <w:bookmarkEnd w:id="41"/>
      <w:r w:rsidRPr="009A0C45">
        <w:t>Административная процедура "Получение и анализ сведений о соблюдении организациями здравоохранения, науки и образования, а также их структурными подразделениями, осуществляющими заготовку, переработку, хранение, транспортировку, применение и обеспечение безопасности донорской крови и ее компонентов, обязательных требований в сфере донорства крови и ее компонентов" осуществляется постоянно.</w:t>
      </w:r>
    </w:p>
    <w:p w:rsidR="00010B6E" w:rsidRPr="009A0C45" w:rsidRDefault="00010B6E" w:rsidP="009A0C45">
      <w:pPr>
        <w:pStyle w:val="pboth1"/>
        <w:spacing w:before="0" w:beforeAutospacing="0" w:after="0" w:line="360" w:lineRule="auto"/>
      </w:pPr>
      <w:bookmarkStart w:id="42" w:name="100067"/>
      <w:bookmarkEnd w:id="42"/>
      <w:r w:rsidRPr="009A0C45">
        <w:t>Межрегиональное управление №135 ФМБА России осуществляют сбор и анализ:</w:t>
      </w:r>
    </w:p>
    <w:p w:rsidR="00010B6E" w:rsidRPr="009A0C45" w:rsidRDefault="00010B6E" w:rsidP="009A0C45">
      <w:pPr>
        <w:pStyle w:val="pboth1"/>
        <w:spacing w:before="0" w:beforeAutospacing="0" w:after="0" w:line="360" w:lineRule="auto"/>
      </w:pPr>
      <w:bookmarkStart w:id="43" w:name="100068"/>
      <w:bookmarkEnd w:id="43"/>
      <w:r w:rsidRPr="009A0C45">
        <w:t>1) идентификационных данных об организациях здравоохранения, расположенных на территориях Смоленской и Псковской областей, включая идентификационный номер налогоплательщика, основной государственный регистрационный номер, дата государственной регистрации юридического лица, наименование структурных подразделений, осуществляющих заготовку, переработку, хранение, транспортировку, применение и обеспечение безопасности донорской крови и ее компонентов, номер и дата выдачи лицензии на осуществление медицинской деятельности по забору, заготовке, хранению донорской крови и ее компонентов, транспортировке донорской крови и ее компонентов, трансфузиологии;</w:t>
      </w:r>
    </w:p>
    <w:p w:rsidR="00010B6E" w:rsidRPr="009A0C45" w:rsidRDefault="00010B6E" w:rsidP="009A0C45">
      <w:pPr>
        <w:pStyle w:val="pboth1"/>
        <w:spacing w:before="0" w:beforeAutospacing="0" w:after="0" w:line="360" w:lineRule="auto"/>
      </w:pPr>
      <w:bookmarkStart w:id="44" w:name="100069"/>
      <w:bookmarkEnd w:id="44"/>
      <w:r w:rsidRPr="009A0C45">
        <w:t>2) рекламаций и жалоб на несоблюдение обязательных требований организациями здравоохранения;</w:t>
      </w:r>
    </w:p>
    <w:p w:rsidR="00010B6E" w:rsidRPr="009A0C45" w:rsidRDefault="00010B6E" w:rsidP="009A0C45">
      <w:pPr>
        <w:pStyle w:val="pboth1"/>
        <w:spacing w:before="0" w:beforeAutospacing="0" w:after="0" w:line="360" w:lineRule="auto"/>
      </w:pPr>
      <w:bookmarkStart w:id="45" w:name="100070"/>
      <w:bookmarkEnd w:id="45"/>
      <w:r w:rsidRPr="009A0C45">
        <w:t>3) сведений о посттрансфузионных осложнениях, возникших вследствие деятельности организаций здравоохранения.</w:t>
      </w:r>
    </w:p>
    <w:p w:rsidR="00010B6E" w:rsidRPr="009A0C45" w:rsidRDefault="00010B6E" w:rsidP="009A0C45">
      <w:pPr>
        <w:pStyle w:val="pboth1"/>
        <w:spacing w:before="0" w:beforeAutospacing="0" w:after="0" w:line="360" w:lineRule="auto"/>
      </w:pPr>
      <w:bookmarkStart w:id="46" w:name="100071"/>
      <w:bookmarkEnd w:id="46"/>
      <w:r w:rsidRPr="009A0C45">
        <w:t>Межрегиональное управление №135 ФМБА России получает сведения, необходимые для планирования исп</w:t>
      </w:r>
      <w:r w:rsidR="009A0C45" w:rsidRPr="009A0C45">
        <w:t>олнения государственной функции</w:t>
      </w:r>
      <w:r w:rsidRPr="009A0C45">
        <w:t>:</w:t>
      </w:r>
    </w:p>
    <w:p w:rsidR="00010B6E" w:rsidRPr="009A0C45" w:rsidRDefault="00010B6E" w:rsidP="009A0C45">
      <w:pPr>
        <w:pStyle w:val="pboth1"/>
        <w:spacing w:before="0" w:beforeAutospacing="0" w:after="0" w:line="360" w:lineRule="auto"/>
      </w:pPr>
      <w:bookmarkStart w:id="47" w:name="100072"/>
      <w:bookmarkEnd w:id="47"/>
      <w:r w:rsidRPr="009A0C45">
        <w:t>1) от органов управления здравоохранением субъектов Российской Федерации о деятельности организаций здравоохранения на территории субъектов;</w:t>
      </w:r>
    </w:p>
    <w:p w:rsidR="00010B6E" w:rsidRPr="009A0C45" w:rsidRDefault="00010B6E" w:rsidP="009A0C45">
      <w:pPr>
        <w:pStyle w:val="pboth1"/>
        <w:spacing w:before="0" w:beforeAutospacing="0" w:after="0" w:line="360" w:lineRule="auto"/>
      </w:pPr>
      <w:bookmarkStart w:id="48" w:name="100073"/>
      <w:bookmarkEnd w:id="48"/>
      <w:r w:rsidRPr="009A0C45">
        <w:t>2) от федеральных органов исполнительной власти, имеющих подведомственные организации здравоохранения;</w:t>
      </w:r>
    </w:p>
    <w:p w:rsidR="00010B6E" w:rsidRPr="009A0C45" w:rsidRDefault="00010B6E" w:rsidP="009A0C45">
      <w:pPr>
        <w:pStyle w:val="pboth1"/>
        <w:spacing w:before="0" w:beforeAutospacing="0" w:after="0" w:line="360" w:lineRule="auto"/>
      </w:pPr>
      <w:bookmarkStart w:id="49" w:name="100074"/>
      <w:bookmarkEnd w:id="49"/>
      <w:r w:rsidRPr="009A0C45">
        <w:t>3) от организаций здравоохранения;</w:t>
      </w:r>
    </w:p>
    <w:p w:rsidR="00010B6E" w:rsidRPr="009A0C45" w:rsidRDefault="00010B6E" w:rsidP="009A0C45">
      <w:pPr>
        <w:pStyle w:val="pboth1"/>
        <w:spacing w:before="0" w:beforeAutospacing="0" w:after="0" w:line="360" w:lineRule="auto"/>
      </w:pPr>
      <w:bookmarkStart w:id="50" w:name="100075"/>
      <w:bookmarkEnd w:id="50"/>
      <w:r w:rsidRPr="009A0C45">
        <w:t>4) от Федеральной службы по надзору в сфере здравоохранения;</w:t>
      </w:r>
    </w:p>
    <w:p w:rsidR="00010B6E" w:rsidRPr="009A0C45" w:rsidRDefault="00010B6E" w:rsidP="009A0C45">
      <w:pPr>
        <w:pStyle w:val="pboth1"/>
        <w:spacing w:before="0" w:beforeAutospacing="0" w:after="0" w:line="360" w:lineRule="auto"/>
      </w:pPr>
      <w:bookmarkStart w:id="51" w:name="100076"/>
      <w:bookmarkEnd w:id="51"/>
      <w:r w:rsidRPr="009A0C45">
        <w:t>5) от ФМБА России.</w:t>
      </w:r>
    </w:p>
    <w:p w:rsidR="00010B6E" w:rsidRPr="009A0C45" w:rsidRDefault="00010B6E" w:rsidP="009A0C45">
      <w:pPr>
        <w:pStyle w:val="pboth1"/>
        <w:spacing w:before="0" w:beforeAutospacing="0" w:after="0" w:line="360" w:lineRule="auto"/>
      </w:pPr>
      <w:bookmarkStart w:id="52" w:name="100077"/>
      <w:bookmarkEnd w:id="52"/>
      <w:r w:rsidRPr="009A0C45">
        <w:t xml:space="preserve">Административная процедура "Проведение проверок осуществления организациями здравоохранения, науки и образования, а также их структурными подразделениями, </w:t>
      </w:r>
      <w:r w:rsidRPr="009A0C45">
        <w:lastRenderedPageBreak/>
        <w:t>осуществляющими заготовку, переработку, хранение, транспортировку, применение и обеспечение безопасности донорской крови и ее компонентов, деятельности в сфере донорства крови и ее компонентов" осуществляется в ходе плановых и внеплановых, выездных и документарных проверок соблюдения обязательных требований организациями здравоохранения.</w:t>
      </w:r>
    </w:p>
    <w:p w:rsidR="00010B6E" w:rsidRPr="009A0C45" w:rsidRDefault="009A0C45" w:rsidP="009A0C45">
      <w:pPr>
        <w:pStyle w:val="pcenter1"/>
        <w:spacing w:before="0" w:beforeAutospacing="0" w:after="0" w:line="360" w:lineRule="auto"/>
        <w:rPr>
          <w:rFonts w:ascii="Open Sans" w:hAnsi="Open Sans"/>
          <w:b/>
          <w:sz w:val="23"/>
          <w:szCs w:val="23"/>
        </w:rPr>
      </w:pPr>
      <w:bookmarkStart w:id="53" w:name="100078"/>
      <w:bookmarkEnd w:id="53"/>
      <w:r>
        <w:rPr>
          <w:rFonts w:ascii="Open Sans" w:hAnsi="Open Sans"/>
          <w:b/>
          <w:sz w:val="23"/>
          <w:szCs w:val="23"/>
        </w:rPr>
        <w:t xml:space="preserve">4. </w:t>
      </w:r>
      <w:r w:rsidR="00010B6E" w:rsidRPr="009A0C45">
        <w:rPr>
          <w:rFonts w:ascii="Open Sans" w:hAnsi="Open Sans"/>
          <w:b/>
          <w:sz w:val="23"/>
          <w:szCs w:val="23"/>
        </w:rPr>
        <w:t>Перечень актов, содержащих обязательные требования,</w:t>
      </w:r>
    </w:p>
    <w:p w:rsidR="00010B6E" w:rsidRPr="009A0C45" w:rsidRDefault="00010B6E" w:rsidP="009A0C45">
      <w:pPr>
        <w:pStyle w:val="pcenter1"/>
        <w:spacing w:before="0" w:beforeAutospacing="0" w:after="0" w:line="360" w:lineRule="auto"/>
        <w:rPr>
          <w:rFonts w:ascii="Open Sans" w:hAnsi="Open Sans"/>
          <w:b/>
          <w:sz w:val="23"/>
          <w:szCs w:val="23"/>
        </w:rPr>
      </w:pPr>
      <w:r w:rsidRPr="009A0C45">
        <w:rPr>
          <w:rFonts w:ascii="Open Sans" w:hAnsi="Open Sans"/>
          <w:b/>
          <w:sz w:val="23"/>
          <w:szCs w:val="23"/>
        </w:rPr>
        <w:t>соблюдение которых оценивается при проведении мероприятий</w:t>
      </w:r>
    </w:p>
    <w:p w:rsidR="00010B6E" w:rsidRPr="009A0C45" w:rsidRDefault="00010B6E" w:rsidP="009A0C45">
      <w:pPr>
        <w:pStyle w:val="pcenter1"/>
        <w:spacing w:before="0" w:beforeAutospacing="0" w:after="0" w:line="360" w:lineRule="auto"/>
        <w:rPr>
          <w:rFonts w:ascii="Open Sans" w:hAnsi="Open Sans"/>
          <w:b/>
          <w:sz w:val="23"/>
          <w:szCs w:val="23"/>
        </w:rPr>
      </w:pPr>
      <w:r w:rsidRPr="009A0C45">
        <w:rPr>
          <w:rFonts w:ascii="Open Sans" w:hAnsi="Open Sans"/>
          <w:b/>
          <w:sz w:val="23"/>
          <w:szCs w:val="23"/>
        </w:rPr>
        <w:t>по контролю при осуществлении государственного контроля</w:t>
      </w:r>
    </w:p>
    <w:p w:rsidR="00010B6E" w:rsidRPr="009A0C45" w:rsidRDefault="00010B6E" w:rsidP="009A0C45">
      <w:pPr>
        <w:pStyle w:val="pcenter1"/>
        <w:spacing w:before="0" w:beforeAutospacing="0" w:after="0" w:line="360" w:lineRule="auto"/>
        <w:rPr>
          <w:rFonts w:ascii="Open Sans" w:hAnsi="Open Sans"/>
          <w:b/>
          <w:sz w:val="23"/>
          <w:szCs w:val="23"/>
        </w:rPr>
      </w:pPr>
      <w:r w:rsidRPr="009A0C45">
        <w:rPr>
          <w:rFonts w:ascii="Open Sans" w:hAnsi="Open Sans"/>
          <w:b/>
          <w:sz w:val="23"/>
          <w:szCs w:val="23"/>
        </w:rPr>
        <w:t>за обеспечением безопасности донорской крови</w:t>
      </w:r>
    </w:p>
    <w:p w:rsidR="00010B6E" w:rsidRPr="009A0C45" w:rsidRDefault="00010B6E" w:rsidP="009A0C45">
      <w:pPr>
        <w:pStyle w:val="pcenter1"/>
        <w:spacing w:before="0" w:beforeAutospacing="0" w:after="0" w:line="360" w:lineRule="auto"/>
        <w:rPr>
          <w:rFonts w:ascii="Open Sans" w:hAnsi="Open Sans"/>
          <w:b/>
          <w:sz w:val="23"/>
          <w:szCs w:val="23"/>
        </w:rPr>
      </w:pPr>
      <w:r w:rsidRPr="009A0C45">
        <w:rPr>
          <w:rFonts w:ascii="Open Sans" w:hAnsi="Open Sans"/>
          <w:b/>
          <w:sz w:val="23"/>
          <w:szCs w:val="23"/>
        </w:rPr>
        <w:t>и ее компонентов</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364"/>
        <w:gridCol w:w="3360"/>
        <w:gridCol w:w="3107"/>
        <w:gridCol w:w="2508"/>
      </w:tblGrid>
      <w:tr w:rsidR="00010B6E" w:rsidTr="007E4E2B">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center1"/>
              <w:rPr>
                <w:rFonts w:ascii="Open Sans" w:hAnsi="Open Sans"/>
              </w:rPr>
            </w:pPr>
            <w:bookmarkStart w:id="54" w:name="100079"/>
            <w:bookmarkEnd w:id="54"/>
            <w:r>
              <w:rPr>
                <w:rFonts w:ascii="Open Sans" w:hAnsi="Open Sans"/>
              </w:rPr>
              <w:t>N п/п</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center1"/>
              <w:rPr>
                <w:rFonts w:ascii="Open Sans" w:hAnsi="Open Sans"/>
              </w:rPr>
            </w:pPr>
            <w:bookmarkStart w:id="55" w:name="100080"/>
            <w:bookmarkEnd w:id="55"/>
            <w:r>
              <w:rPr>
                <w:rFonts w:ascii="Open Sans" w:hAnsi="Open Sans"/>
              </w:rPr>
              <w:t>Наименование и реквизиты акта</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center1"/>
              <w:rPr>
                <w:rFonts w:ascii="Open Sans" w:hAnsi="Open Sans"/>
              </w:rPr>
            </w:pPr>
            <w:bookmarkStart w:id="56" w:name="100081"/>
            <w:bookmarkEnd w:id="56"/>
            <w:r>
              <w:rPr>
                <w:rFonts w:ascii="Open Sans" w:hAnsi="Open Sans"/>
              </w:rPr>
              <w:t>Краткое описание круга лиц и (или) перечня объектов, в отношении которых устанавливаются обязательные требования</w:t>
            </w:r>
          </w:p>
        </w:tc>
        <w:tc>
          <w:tcPr>
            <w:tcW w:w="0" w:type="auto"/>
            <w:tcBorders>
              <w:top w:val="outset" w:sz="6" w:space="0" w:color="auto"/>
              <w:left w:val="outset" w:sz="6" w:space="0" w:color="auto"/>
              <w:bottom w:val="outset" w:sz="6" w:space="0" w:color="auto"/>
              <w:right w:val="outset" w:sz="6" w:space="0" w:color="auto"/>
            </w:tcBorders>
            <w:vAlign w:val="center"/>
          </w:tcPr>
          <w:p w:rsidR="00053B7F" w:rsidRPr="00053B7F" w:rsidRDefault="00010B6E" w:rsidP="00053B7F">
            <w:pPr>
              <w:pStyle w:val="pcenter1"/>
              <w:rPr>
                <w:rFonts w:ascii="Open Sans" w:hAnsi="Open Sans"/>
                <w:u w:val="single"/>
              </w:rPr>
            </w:pPr>
            <w:bookmarkStart w:id="57" w:name="100082"/>
            <w:bookmarkEnd w:id="57"/>
            <w:r>
              <w:rPr>
                <w:rFonts w:ascii="Open Sans" w:hAnsi="Open Sans"/>
              </w:rPr>
              <w:t xml:space="preserve">Указание на структурные единицы акта, соблюдение которых оценивается при проведении мероприятий по контролю </w:t>
            </w:r>
            <w:hyperlink r:id="rId23" w:anchor="100162" w:history="1"/>
          </w:p>
        </w:tc>
      </w:tr>
      <w:tr w:rsidR="00053B7F" w:rsidTr="00330FA7">
        <w:tc>
          <w:tcPr>
            <w:tcW w:w="0" w:type="auto"/>
            <w:tcBorders>
              <w:top w:val="outset" w:sz="6" w:space="0" w:color="auto"/>
              <w:left w:val="outset" w:sz="6" w:space="0" w:color="auto"/>
              <w:bottom w:val="outset" w:sz="6" w:space="0" w:color="auto"/>
              <w:right w:val="outset" w:sz="6" w:space="0" w:color="auto"/>
            </w:tcBorders>
            <w:vAlign w:val="center"/>
          </w:tcPr>
          <w:p w:rsidR="00053B7F" w:rsidRDefault="00053B7F" w:rsidP="007E4E2B">
            <w:pPr>
              <w:pStyle w:val="pcenter1"/>
              <w:rPr>
                <w:rFonts w:ascii="Open Sans" w:hAnsi="Open Sans"/>
              </w:rPr>
            </w:pPr>
          </w:p>
        </w:tc>
        <w:tc>
          <w:tcPr>
            <w:tcW w:w="0" w:type="auto"/>
            <w:gridSpan w:val="3"/>
            <w:tcBorders>
              <w:top w:val="outset" w:sz="6" w:space="0" w:color="auto"/>
              <w:left w:val="outset" w:sz="6" w:space="0" w:color="auto"/>
              <w:bottom w:val="outset" w:sz="6" w:space="0" w:color="auto"/>
              <w:right w:val="outset" w:sz="6" w:space="0" w:color="auto"/>
            </w:tcBorders>
            <w:vAlign w:val="center"/>
          </w:tcPr>
          <w:p w:rsidR="00053B7F" w:rsidRDefault="00053B7F" w:rsidP="00053B7F">
            <w:pPr>
              <w:jc w:val="center"/>
              <w:rPr>
                <w:rFonts w:ascii="Open Sans" w:hAnsi="Open Sans"/>
              </w:rPr>
            </w:pPr>
            <w:r>
              <w:rPr>
                <w:rFonts w:ascii="Open Sans" w:hAnsi="Open Sans"/>
              </w:rPr>
              <w:t>Федеральные законы</w:t>
            </w:r>
          </w:p>
        </w:tc>
      </w:tr>
      <w:tr w:rsidR="00010B6E" w:rsidTr="007E4E2B">
        <w:tc>
          <w:tcPr>
            <w:tcW w:w="0" w:type="auto"/>
            <w:tcBorders>
              <w:top w:val="outset" w:sz="6" w:space="0" w:color="auto"/>
              <w:left w:val="outset" w:sz="6" w:space="0" w:color="auto"/>
              <w:bottom w:val="outset" w:sz="6" w:space="0" w:color="auto"/>
              <w:right w:val="outset" w:sz="6" w:space="0" w:color="auto"/>
            </w:tcBorders>
            <w:vAlign w:val="center"/>
          </w:tcPr>
          <w:p w:rsidR="00010B6E" w:rsidRDefault="00053B7F" w:rsidP="007E4E2B">
            <w:pPr>
              <w:pStyle w:val="pcenter1"/>
              <w:rPr>
                <w:rFonts w:ascii="Open Sans" w:hAnsi="Open Sans"/>
              </w:rPr>
            </w:pPr>
            <w:bookmarkStart w:id="58" w:name="100083"/>
            <w:bookmarkStart w:id="59" w:name="100085"/>
            <w:bookmarkStart w:id="60" w:name="100091"/>
            <w:bookmarkEnd w:id="58"/>
            <w:bookmarkEnd w:id="59"/>
            <w:bookmarkEnd w:id="60"/>
            <w:r>
              <w:rPr>
                <w:rFonts w:ascii="Open Sans" w:hAnsi="Open Sans"/>
              </w:rPr>
              <w:t>1.</w:t>
            </w:r>
          </w:p>
        </w:tc>
        <w:tc>
          <w:tcPr>
            <w:tcW w:w="0" w:type="auto"/>
            <w:tcBorders>
              <w:top w:val="outset" w:sz="6" w:space="0" w:color="auto"/>
              <w:left w:val="outset" w:sz="6" w:space="0" w:color="auto"/>
              <w:bottom w:val="outset" w:sz="6" w:space="0" w:color="auto"/>
              <w:right w:val="outset" w:sz="6" w:space="0" w:color="auto"/>
            </w:tcBorders>
            <w:vAlign w:val="center"/>
          </w:tcPr>
          <w:p w:rsidR="00010B6E" w:rsidRPr="009A0C45" w:rsidRDefault="00010B6E" w:rsidP="007E4E2B">
            <w:pPr>
              <w:pStyle w:val="pboth1"/>
              <w:rPr>
                <w:rFonts w:ascii="Open Sans" w:hAnsi="Open Sans"/>
              </w:rPr>
            </w:pPr>
            <w:bookmarkStart w:id="61" w:name="100092"/>
            <w:bookmarkEnd w:id="61"/>
            <w:r w:rsidRPr="009A0C45">
              <w:rPr>
                <w:rFonts w:ascii="Open Sans" w:hAnsi="Open Sans"/>
              </w:rPr>
              <w:t xml:space="preserve">"О донорстве крови и ее компонентов" от 20.07.2012 </w:t>
            </w:r>
            <w:hyperlink r:id="rId24" w:history="1">
              <w:r w:rsidRPr="00053B7F">
                <w:rPr>
                  <w:rStyle w:val="a5"/>
                  <w:rFonts w:ascii="Open Sans" w:hAnsi="Open Sans"/>
                  <w:color w:val="auto"/>
                  <w:u w:val="none"/>
                </w:rPr>
                <w:t>N 125-ФЗ</w:t>
              </w:r>
            </w:hyperlink>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both1"/>
              <w:rPr>
                <w:rFonts w:ascii="Open Sans" w:hAnsi="Open Sans"/>
              </w:rPr>
            </w:pPr>
            <w:bookmarkStart w:id="62" w:name="100093"/>
            <w:bookmarkEnd w:id="62"/>
            <w:r>
              <w:rPr>
                <w:rFonts w:ascii="Open Sans" w:hAnsi="Open Sans"/>
              </w:rPr>
              <w:t>Субъекты обращения донорской крови и (или) ее компонентов</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53B7F" w:rsidP="007E4E2B">
            <w:pPr>
              <w:rPr>
                <w:rFonts w:ascii="Open Sans" w:hAnsi="Open Sans"/>
              </w:rPr>
            </w:pPr>
            <w:r>
              <w:rPr>
                <w:rFonts w:ascii="Open Sans" w:hAnsi="Open Sans"/>
              </w:rPr>
              <w:t>Ст. 13,14,15,16,17,18,27</w:t>
            </w:r>
          </w:p>
        </w:tc>
      </w:tr>
      <w:tr w:rsidR="00010B6E" w:rsidTr="007E4E2B">
        <w:tc>
          <w:tcPr>
            <w:tcW w:w="0" w:type="auto"/>
            <w:tcBorders>
              <w:top w:val="outset" w:sz="6" w:space="0" w:color="auto"/>
              <w:left w:val="outset" w:sz="6" w:space="0" w:color="auto"/>
              <w:bottom w:val="outset" w:sz="6" w:space="0" w:color="auto"/>
              <w:right w:val="outset" w:sz="6" w:space="0" w:color="auto"/>
            </w:tcBorders>
            <w:vAlign w:val="center"/>
          </w:tcPr>
          <w:p w:rsidR="00010B6E" w:rsidRDefault="00053B7F" w:rsidP="007E4E2B">
            <w:pPr>
              <w:pStyle w:val="pcenter1"/>
              <w:rPr>
                <w:rFonts w:ascii="Open Sans" w:hAnsi="Open Sans"/>
              </w:rPr>
            </w:pPr>
            <w:bookmarkStart w:id="63" w:name="100094"/>
            <w:bookmarkEnd w:id="63"/>
            <w:r>
              <w:rPr>
                <w:rFonts w:ascii="Open Sans" w:hAnsi="Open Sans"/>
              </w:rPr>
              <w:t xml:space="preserve"> 2.</w:t>
            </w:r>
          </w:p>
        </w:tc>
        <w:tc>
          <w:tcPr>
            <w:tcW w:w="0" w:type="auto"/>
            <w:tcBorders>
              <w:top w:val="outset" w:sz="6" w:space="0" w:color="auto"/>
              <w:left w:val="outset" w:sz="6" w:space="0" w:color="auto"/>
              <w:bottom w:val="outset" w:sz="6" w:space="0" w:color="auto"/>
              <w:right w:val="outset" w:sz="6" w:space="0" w:color="auto"/>
            </w:tcBorders>
            <w:vAlign w:val="center"/>
          </w:tcPr>
          <w:p w:rsidR="00010B6E" w:rsidRPr="009A0C45" w:rsidRDefault="00010B6E" w:rsidP="007E4E2B">
            <w:pPr>
              <w:pStyle w:val="pboth1"/>
              <w:rPr>
                <w:rFonts w:ascii="Open Sans" w:hAnsi="Open Sans"/>
              </w:rPr>
            </w:pPr>
            <w:bookmarkStart w:id="64" w:name="100095"/>
            <w:bookmarkEnd w:id="64"/>
            <w:r w:rsidRPr="009A0C45">
              <w:rPr>
                <w:rFonts w:ascii="Open Sans" w:hAnsi="Open Sans"/>
              </w:rPr>
              <w:t xml:space="preserve">"Об основах охраны здоровья граждан в Российской Федерации" от 21.11.2011 </w:t>
            </w:r>
            <w:hyperlink r:id="rId25" w:history="1">
              <w:r w:rsidRPr="00053B7F">
                <w:rPr>
                  <w:rStyle w:val="a5"/>
                  <w:rFonts w:ascii="Open Sans" w:hAnsi="Open Sans"/>
                  <w:color w:val="auto"/>
                  <w:u w:val="none"/>
                </w:rPr>
                <w:t>N 323-ФЗ</w:t>
              </w:r>
            </w:hyperlink>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both1"/>
              <w:rPr>
                <w:rFonts w:ascii="Open Sans" w:hAnsi="Open Sans"/>
              </w:rPr>
            </w:pPr>
            <w:bookmarkStart w:id="65" w:name="100096"/>
            <w:bookmarkEnd w:id="65"/>
            <w:r>
              <w:rPr>
                <w:rFonts w:ascii="Open Sans" w:hAnsi="Open Sans"/>
              </w:rPr>
              <w:t>Субъекты обращения донорской крови и (или) ее компонентов</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53B7F" w:rsidP="007E4E2B">
            <w:pPr>
              <w:pStyle w:val="pboth1"/>
              <w:rPr>
                <w:rFonts w:ascii="Open Sans" w:hAnsi="Open Sans"/>
              </w:rPr>
            </w:pPr>
            <w:bookmarkStart w:id="66" w:name="100097"/>
            <w:bookmarkEnd w:id="66"/>
            <w:r>
              <w:rPr>
                <w:rFonts w:ascii="Open Sans" w:hAnsi="Open Sans"/>
              </w:rPr>
              <w:t xml:space="preserve">Ч. 1,4 </w:t>
            </w:r>
            <w:hyperlink r:id="rId26" w:anchor="100413" w:history="1">
              <w:r w:rsidR="00010B6E" w:rsidRPr="00053B7F">
                <w:rPr>
                  <w:rStyle w:val="a5"/>
                  <w:rFonts w:ascii="Open Sans" w:hAnsi="Open Sans"/>
                  <w:color w:val="auto"/>
                  <w:u w:val="none"/>
                </w:rPr>
                <w:t>ст. 38</w:t>
              </w:r>
            </w:hyperlink>
            <w:r w:rsidR="00010B6E" w:rsidRPr="00053B7F">
              <w:rPr>
                <w:rFonts w:ascii="Open Sans" w:hAnsi="Open Sans"/>
              </w:rPr>
              <w:t xml:space="preserve">, </w:t>
            </w:r>
            <w:r w:rsidRPr="00053B7F">
              <w:rPr>
                <w:rFonts w:ascii="Open Sans" w:hAnsi="Open Sans"/>
              </w:rPr>
              <w:t>ч.1,2 ст.</w:t>
            </w:r>
            <w:hyperlink r:id="rId27" w:anchor="100514" w:history="1">
              <w:r w:rsidR="00010B6E" w:rsidRPr="00053B7F">
                <w:rPr>
                  <w:rStyle w:val="a5"/>
                  <w:rFonts w:ascii="Open Sans" w:hAnsi="Open Sans"/>
                  <w:color w:val="auto"/>
                  <w:u w:val="none"/>
                </w:rPr>
                <w:t>49</w:t>
              </w:r>
            </w:hyperlink>
            <w:r>
              <w:rPr>
                <w:rStyle w:val="a5"/>
                <w:rFonts w:ascii="Open Sans" w:hAnsi="Open Sans"/>
                <w:color w:val="auto"/>
                <w:u w:val="none"/>
              </w:rPr>
              <w:t>, п.1 ч.3 ст.80</w:t>
            </w:r>
          </w:p>
        </w:tc>
      </w:tr>
      <w:tr w:rsidR="00053B7F" w:rsidTr="00BA709E">
        <w:tc>
          <w:tcPr>
            <w:tcW w:w="0" w:type="auto"/>
            <w:tcBorders>
              <w:top w:val="outset" w:sz="6" w:space="0" w:color="auto"/>
              <w:left w:val="outset" w:sz="6" w:space="0" w:color="auto"/>
              <w:bottom w:val="outset" w:sz="6" w:space="0" w:color="auto"/>
              <w:right w:val="outset" w:sz="6" w:space="0" w:color="auto"/>
            </w:tcBorders>
            <w:vAlign w:val="center"/>
          </w:tcPr>
          <w:p w:rsidR="00053B7F" w:rsidRDefault="00053B7F" w:rsidP="007E4E2B">
            <w:pPr>
              <w:pStyle w:val="pcenter1"/>
              <w:rPr>
                <w:rFonts w:ascii="Open Sans" w:hAnsi="Open Sans"/>
              </w:rPr>
            </w:pPr>
          </w:p>
        </w:tc>
        <w:tc>
          <w:tcPr>
            <w:tcW w:w="0" w:type="auto"/>
            <w:gridSpan w:val="3"/>
            <w:tcBorders>
              <w:top w:val="outset" w:sz="6" w:space="0" w:color="auto"/>
              <w:left w:val="outset" w:sz="6" w:space="0" w:color="auto"/>
              <w:bottom w:val="outset" w:sz="6" w:space="0" w:color="auto"/>
              <w:right w:val="outset" w:sz="6" w:space="0" w:color="auto"/>
            </w:tcBorders>
            <w:vAlign w:val="center"/>
          </w:tcPr>
          <w:p w:rsidR="00053B7F" w:rsidRDefault="00053B7F" w:rsidP="00053B7F">
            <w:pPr>
              <w:pStyle w:val="pboth1"/>
              <w:jc w:val="center"/>
              <w:rPr>
                <w:rFonts w:ascii="Open Sans" w:hAnsi="Open Sans"/>
              </w:rPr>
            </w:pPr>
            <w:r>
              <w:rPr>
                <w:rFonts w:ascii="Open Sans" w:hAnsi="Open Sans"/>
              </w:rPr>
              <w:t>Указы Президента Российской Федерации, постановления и распоряжения Правительства Российской Федерации</w:t>
            </w:r>
          </w:p>
        </w:tc>
      </w:tr>
      <w:tr w:rsidR="00010B6E" w:rsidTr="007E4E2B">
        <w:tc>
          <w:tcPr>
            <w:tcW w:w="0" w:type="auto"/>
            <w:tcBorders>
              <w:top w:val="outset" w:sz="6" w:space="0" w:color="auto"/>
              <w:left w:val="outset" w:sz="6" w:space="0" w:color="auto"/>
              <w:bottom w:val="outset" w:sz="6" w:space="0" w:color="auto"/>
              <w:right w:val="outset" w:sz="6" w:space="0" w:color="auto"/>
            </w:tcBorders>
            <w:vAlign w:val="center"/>
          </w:tcPr>
          <w:p w:rsidR="00010B6E" w:rsidRDefault="00AF786B" w:rsidP="007E4E2B">
            <w:pPr>
              <w:pStyle w:val="pcenter1"/>
              <w:rPr>
                <w:rFonts w:ascii="Open Sans" w:hAnsi="Open Sans"/>
              </w:rPr>
            </w:pPr>
            <w:bookmarkStart w:id="67" w:name="100098"/>
            <w:bookmarkStart w:id="68" w:name="100100"/>
            <w:bookmarkStart w:id="69" w:name="100103"/>
            <w:bookmarkStart w:id="70" w:name="100106"/>
            <w:bookmarkEnd w:id="67"/>
            <w:bookmarkEnd w:id="68"/>
            <w:bookmarkEnd w:id="69"/>
            <w:bookmarkEnd w:id="70"/>
            <w:r>
              <w:rPr>
                <w:rFonts w:ascii="Open Sans" w:hAnsi="Open Sans"/>
              </w:rPr>
              <w:t>1</w:t>
            </w:r>
            <w:r w:rsidR="00010B6E">
              <w:rPr>
                <w:rFonts w:ascii="Open Sans" w:hAnsi="Open Sans"/>
              </w:rPr>
              <w:t>.</w:t>
            </w:r>
          </w:p>
        </w:tc>
        <w:tc>
          <w:tcPr>
            <w:tcW w:w="0" w:type="auto"/>
            <w:tcBorders>
              <w:top w:val="outset" w:sz="6" w:space="0" w:color="auto"/>
              <w:left w:val="outset" w:sz="6" w:space="0" w:color="auto"/>
              <w:bottom w:val="outset" w:sz="6" w:space="0" w:color="auto"/>
              <w:right w:val="outset" w:sz="6" w:space="0" w:color="auto"/>
            </w:tcBorders>
            <w:vAlign w:val="center"/>
          </w:tcPr>
          <w:p w:rsidR="00010B6E" w:rsidRPr="009A0C45" w:rsidRDefault="00053B7F" w:rsidP="007E4E2B">
            <w:pPr>
              <w:pStyle w:val="pboth1"/>
              <w:rPr>
                <w:rFonts w:ascii="Open Sans" w:hAnsi="Open Sans"/>
              </w:rPr>
            </w:pPr>
            <w:bookmarkStart w:id="71" w:name="100107"/>
            <w:bookmarkEnd w:id="71"/>
            <w:r>
              <w:rPr>
                <w:rFonts w:ascii="Open Sans" w:hAnsi="Open Sans"/>
              </w:rPr>
              <w:t>"</w:t>
            </w:r>
            <w:r w:rsidR="00010B6E" w:rsidRPr="009A0C45">
              <w:rPr>
                <w:rFonts w:ascii="Open Sans" w:hAnsi="Open Sans"/>
              </w:rPr>
              <w:t>Правил</w:t>
            </w:r>
            <w:r>
              <w:rPr>
                <w:rFonts w:ascii="Open Sans" w:hAnsi="Open Sans"/>
              </w:rPr>
              <w:t xml:space="preserve">а </w:t>
            </w:r>
            <w:r w:rsidR="00010B6E" w:rsidRPr="009A0C45">
              <w:rPr>
                <w:rFonts w:ascii="Open Sans" w:hAnsi="Open Sans"/>
              </w:rPr>
              <w:t>осуществления безвозмездной передачи донорской крови и (или) ее компонентов организациями, входящими в службу крови" от 12.04.2013 N 332</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both1"/>
              <w:rPr>
                <w:rFonts w:ascii="Open Sans" w:hAnsi="Open Sans"/>
              </w:rPr>
            </w:pPr>
            <w:bookmarkStart w:id="72" w:name="100108"/>
            <w:bookmarkEnd w:id="72"/>
            <w:r>
              <w:rPr>
                <w:rFonts w:ascii="Open Sans" w:hAnsi="Open Sans"/>
              </w:rPr>
              <w:t>Субъекты обращения донорской крови и (или) ее компонентов</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53B7F" w:rsidP="007E4E2B">
            <w:pPr>
              <w:rPr>
                <w:rFonts w:ascii="Open Sans" w:hAnsi="Open Sans"/>
              </w:rPr>
            </w:pPr>
            <w:r>
              <w:rPr>
                <w:rFonts w:ascii="Open Sans" w:hAnsi="Open Sans"/>
              </w:rPr>
              <w:t>П.2,3,4,6</w:t>
            </w:r>
          </w:p>
        </w:tc>
      </w:tr>
      <w:tr w:rsidR="00010B6E" w:rsidTr="007E4E2B">
        <w:tc>
          <w:tcPr>
            <w:tcW w:w="0" w:type="auto"/>
            <w:tcBorders>
              <w:top w:val="outset" w:sz="6" w:space="0" w:color="auto"/>
              <w:left w:val="outset" w:sz="6" w:space="0" w:color="auto"/>
              <w:bottom w:val="outset" w:sz="6" w:space="0" w:color="auto"/>
              <w:right w:val="outset" w:sz="6" w:space="0" w:color="auto"/>
            </w:tcBorders>
            <w:vAlign w:val="center"/>
          </w:tcPr>
          <w:p w:rsidR="00010B6E" w:rsidRDefault="00AF786B" w:rsidP="007E4E2B">
            <w:pPr>
              <w:pStyle w:val="pcenter1"/>
              <w:rPr>
                <w:rFonts w:ascii="Open Sans" w:hAnsi="Open Sans"/>
              </w:rPr>
            </w:pPr>
            <w:bookmarkStart w:id="73" w:name="100109"/>
            <w:bookmarkEnd w:id="73"/>
            <w:r>
              <w:rPr>
                <w:rFonts w:ascii="Open Sans" w:hAnsi="Open Sans"/>
              </w:rPr>
              <w:t>2</w:t>
            </w:r>
            <w:r w:rsidR="00010B6E">
              <w:rPr>
                <w:rFonts w:ascii="Open Sans" w:hAnsi="Open Sans"/>
              </w:rPr>
              <w:t>.</w:t>
            </w:r>
          </w:p>
        </w:tc>
        <w:tc>
          <w:tcPr>
            <w:tcW w:w="0" w:type="auto"/>
            <w:tcBorders>
              <w:top w:val="outset" w:sz="6" w:space="0" w:color="auto"/>
              <w:left w:val="outset" w:sz="6" w:space="0" w:color="auto"/>
              <w:bottom w:val="outset" w:sz="6" w:space="0" w:color="auto"/>
              <w:right w:val="outset" w:sz="6" w:space="0" w:color="auto"/>
            </w:tcBorders>
            <w:vAlign w:val="center"/>
          </w:tcPr>
          <w:p w:rsidR="00010B6E" w:rsidRPr="009A0C45" w:rsidRDefault="00053B7F" w:rsidP="007E4E2B">
            <w:pPr>
              <w:pStyle w:val="pboth1"/>
              <w:rPr>
                <w:rFonts w:ascii="Open Sans" w:hAnsi="Open Sans"/>
              </w:rPr>
            </w:pPr>
            <w:bookmarkStart w:id="74" w:name="100110"/>
            <w:bookmarkEnd w:id="74"/>
            <w:r>
              <w:rPr>
                <w:rFonts w:ascii="Open Sans" w:hAnsi="Open Sans"/>
              </w:rPr>
              <w:t>"</w:t>
            </w:r>
            <w:r w:rsidR="00010B6E" w:rsidRPr="009A0C45">
              <w:rPr>
                <w:rFonts w:ascii="Open Sans" w:hAnsi="Open Sans"/>
              </w:rPr>
              <w:t>Правил</w:t>
            </w:r>
            <w:r>
              <w:rPr>
                <w:rFonts w:ascii="Open Sans" w:hAnsi="Open Sans"/>
              </w:rPr>
              <w:t>а</w:t>
            </w:r>
            <w:r w:rsidR="00010B6E" w:rsidRPr="009A0C45">
              <w:rPr>
                <w:rFonts w:ascii="Open Sans" w:hAnsi="Open Sans"/>
              </w:rPr>
              <w:t xml:space="preserve"> обеспечения медицинских, образовательных, научных и иных организаций донорской кровью и (или) ее </w:t>
            </w:r>
            <w:r w:rsidR="00010B6E" w:rsidRPr="009A0C45">
              <w:rPr>
                <w:rFonts w:ascii="Open Sans" w:hAnsi="Open Sans"/>
              </w:rPr>
              <w:lastRenderedPageBreak/>
              <w:t>компонентами в иных целях, кроме клинического использования" от 12.04.2013 N 331</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both1"/>
              <w:rPr>
                <w:rFonts w:ascii="Open Sans" w:hAnsi="Open Sans"/>
              </w:rPr>
            </w:pPr>
            <w:bookmarkStart w:id="75" w:name="100111"/>
            <w:bookmarkEnd w:id="75"/>
            <w:r>
              <w:rPr>
                <w:rFonts w:ascii="Open Sans" w:hAnsi="Open Sans"/>
              </w:rPr>
              <w:lastRenderedPageBreak/>
              <w:t>Субъекты обращения донорской крови и (или) ее компонентов</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53B7F" w:rsidP="007E4E2B">
            <w:pPr>
              <w:rPr>
                <w:rFonts w:ascii="Open Sans" w:hAnsi="Open Sans"/>
              </w:rPr>
            </w:pPr>
            <w:r>
              <w:rPr>
                <w:rFonts w:ascii="Open Sans" w:hAnsi="Open Sans"/>
              </w:rPr>
              <w:t>П.7</w:t>
            </w:r>
          </w:p>
        </w:tc>
      </w:tr>
      <w:tr w:rsidR="00010B6E" w:rsidTr="007E4E2B">
        <w:tc>
          <w:tcPr>
            <w:tcW w:w="0" w:type="auto"/>
            <w:tcBorders>
              <w:top w:val="outset" w:sz="6" w:space="0" w:color="auto"/>
              <w:left w:val="outset" w:sz="6" w:space="0" w:color="auto"/>
              <w:bottom w:val="outset" w:sz="6" w:space="0" w:color="auto"/>
              <w:right w:val="outset" w:sz="6" w:space="0" w:color="auto"/>
            </w:tcBorders>
            <w:vAlign w:val="center"/>
          </w:tcPr>
          <w:p w:rsidR="00010B6E" w:rsidRDefault="00AF786B" w:rsidP="007E4E2B">
            <w:pPr>
              <w:pStyle w:val="pcenter1"/>
              <w:rPr>
                <w:rFonts w:ascii="Open Sans" w:hAnsi="Open Sans"/>
              </w:rPr>
            </w:pPr>
            <w:bookmarkStart w:id="76" w:name="100112"/>
            <w:bookmarkStart w:id="77" w:name="100116"/>
            <w:bookmarkEnd w:id="76"/>
            <w:bookmarkEnd w:id="77"/>
            <w:r>
              <w:rPr>
                <w:rFonts w:ascii="Open Sans" w:hAnsi="Open Sans"/>
              </w:rPr>
              <w:t>3</w:t>
            </w:r>
            <w:r w:rsidR="00010B6E">
              <w:rPr>
                <w:rFonts w:ascii="Open Sans" w:hAnsi="Open Sans"/>
              </w:rPr>
              <w:t>.</w:t>
            </w:r>
          </w:p>
        </w:tc>
        <w:tc>
          <w:tcPr>
            <w:tcW w:w="0" w:type="auto"/>
            <w:tcBorders>
              <w:top w:val="outset" w:sz="6" w:space="0" w:color="auto"/>
              <w:left w:val="outset" w:sz="6" w:space="0" w:color="auto"/>
              <w:bottom w:val="outset" w:sz="6" w:space="0" w:color="auto"/>
              <w:right w:val="outset" w:sz="6" w:space="0" w:color="auto"/>
            </w:tcBorders>
            <w:vAlign w:val="center"/>
          </w:tcPr>
          <w:p w:rsidR="00010B6E" w:rsidRPr="009A0C45" w:rsidRDefault="00423471" w:rsidP="007E4E2B">
            <w:pPr>
              <w:pStyle w:val="pboth1"/>
              <w:rPr>
                <w:rFonts w:ascii="Open Sans" w:hAnsi="Open Sans"/>
              </w:rPr>
            </w:pPr>
            <w:bookmarkStart w:id="78" w:name="100117"/>
            <w:bookmarkEnd w:id="78"/>
            <w:r>
              <w:rPr>
                <w:rFonts w:ascii="Open Sans" w:hAnsi="Open Sans"/>
              </w:rPr>
              <w:t>"</w:t>
            </w:r>
            <w:r w:rsidR="00AF786B">
              <w:rPr>
                <w:rFonts w:ascii="Open Sans" w:hAnsi="Open Sans"/>
              </w:rPr>
              <w:t>П</w:t>
            </w:r>
            <w:r w:rsidR="00010B6E" w:rsidRPr="009A0C45">
              <w:rPr>
                <w:rFonts w:ascii="Open Sans" w:hAnsi="Open Sans"/>
              </w:rPr>
              <w:t>равил</w:t>
            </w:r>
            <w:r>
              <w:rPr>
                <w:rFonts w:ascii="Open Sans" w:hAnsi="Open Sans"/>
              </w:rPr>
              <w:t xml:space="preserve">а </w:t>
            </w:r>
            <w:r w:rsidR="00AF786B">
              <w:rPr>
                <w:rFonts w:ascii="Open Sans" w:hAnsi="Open Sans"/>
              </w:rPr>
              <w:t>и методы</w:t>
            </w:r>
            <w:r w:rsidR="00010B6E" w:rsidRPr="009A0C45">
              <w:rPr>
                <w:rFonts w:ascii="Open Sans" w:hAnsi="Open Sans"/>
              </w:rPr>
              <w:t xml:space="preserve"> исследований и правил отбора образ</w:t>
            </w:r>
            <w:bookmarkStart w:id="79" w:name="_GoBack"/>
            <w:bookmarkEnd w:id="79"/>
            <w:r w:rsidR="00010B6E" w:rsidRPr="009A0C45">
              <w:rPr>
                <w:rFonts w:ascii="Open Sans" w:hAnsi="Open Sans"/>
              </w:rPr>
              <w:t xml:space="preserve">цов донорской крови, необходимые для применения и исполнения технического регламента о требованиях безопасности крови, ее продуктов, кровезамещающих растворов и технических средств, используемых в </w:t>
            </w:r>
            <w:proofErr w:type="spellStart"/>
            <w:r w:rsidR="00010B6E" w:rsidRPr="009A0C45">
              <w:rPr>
                <w:rFonts w:ascii="Open Sans" w:hAnsi="Open Sans"/>
              </w:rPr>
              <w:t>трансфузионно-инфузионной</w:t>
            </w:r>
            <w:proofErr w:type="spellEnd"/>
            <w:r w:rsidR="00010B6E" w:rsidRPr="009A0C45">
              <w:rPr>
                <w:rFonts w:ascii="Open Sans" w:hAnsi="Open Sans"/>
              </w:rPr>
              <w:t xml:space="preserve"> терапии" от 31.12.2010 N 1230</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both1"/>
              <w:rPr>
                <w:rFonts w:ascii="Open Sans" w:hAnsi="Open Sans"/>
              </w:rPr>
            </w:pPr>
            <w:bookmarkStart w:id="80" w:name="100118"/>
            <w:bookmarkEnd w:id="80"/>
            <w:r>
              <w:rPr>
                <w:rFonts w:ascii="Open Sans" w:hAnsi="Open Sans"/>
              </w:rPr>
              <w:t>Субъекты обращения донорской крови и (или) ее компонентов</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AF786B" w:rsidP="007E4E2B">
            <w:pPr>
              <w:rPr>
                <w:rFonts w:ascii="Open Sans" w:hAnsi="Open Sans"/>
              </w:rPr>
            </w:pPr>
            <w:r>
              <w:rPr>
                <w:rFonts w:ascii="Open Sans" w:hAnsi="Open Sans"/>
              </w:rPr>
              <w:t>Акт применяется в полном объеме</w:t>
            </w:r>
          </w:p>
        </w:tc>
      </w:tr>
      <w:tr w:rsidR="00010B6E" w:rsidTr="007E4E2B">
        <w:tc>
          <w:tcPr>
            <w:tcW w:w="0" w:type="auto"/>
            <w:tcBorders>
              <w:top w:val="outset" w:sz="6" w:space="0" w:color="auto"/>
              <w:left w:val="outset" w:sz="6" w:space="0" w:color="auto"/>
              <w:bottom w:val="outset" w:sz="6" w:space="0" w:color="auto"/>
              <w:right w:val="outset" w:sz="6" w:space="0" w:color="auto"/>
            </w:tcBorders>
            <w:vAlign w:val="center"/>
          </w:tcPr>
          <w:p w:rsidR="00010B6E" w:rsidRDefault="00AF786B" w:rsidP="007E4E2B">
            <w:pPr>
              <w:pStyle w:val="pcenter1"/>
              <w:rPr>
                <w:rFonts w:ascii="Open Sans" w:hAnsi="Open Sans"/>
              </w:rPr>
            </w:pPr>
            <w:bookmarkStart w:id="81" w:name="100119"/>
            <w:bookmarkEnd w:id="81"/>
            <w:r>
              <w:rPr>
                <w:rFonts w:ascii="Open Sans" w:hAnsi="Open Sans"/>
              </w:rPr>
              <w:t>4</w:t>
            </w:r>
            <w:r w:rsidR="00010B6E">
              <w:rPr>
                <w:rFonts w:ascii="Open Sans" w:hAnsi="Open Sans"/>
              </w:rPr>
              <w:t>.</w:t>
            </w:r>
          </w:p>
        </w:tc>
        <w:tc>
          <w:tcPr>
            <w:tcW w:w="0" w:type="auto"/>
            <w:tcBorders>
              <w:top w:val="outset" w:sz="6" w:space="0" w:color="auto"/>
              <w:left w:val="outset" w:sz="6" w:space="0" w:color="auto"/>
              <w:bottom w:val="outset" w:sz="6" w:space="0" w:color="auto"/>
              <w:right w:val="outset" w:sz="6" w:space="0" w:color="auto"/>
            </w:tcBorders>
            <w:vAlign w:val="center"/>
          </w:tcPr>
          <w:p w:rsidR="00010B6E" w:rsidRPr="009A0C45" w:rsidRDefault="00AF786B" w:rsidP="007E4E2B">
            <w:pPr>
              <w:pStyle w:val="pboth1"/>
              <w:rPr>
                <w:rFonts w:ascii="Open Sans" w:hAnsi="Open Sans"/>
              </w:rPr>
            </w:pPr>
            <w:bookmarkStart w:id="82" w:name="100120"/>
            <w:bookmarkEnd w:id="82"/>
            <w:r>
              <w:rPr>
                <w:rFonts w:ascii="Open Sans" w:hAnsi="Open Sans"/>
              </w:rPr>
              <w:t>"Технический регламент</w:t>
            </w:r>
            <w:r w:rsidR="00010B6E" w:rsidRPr="009A0C45">
              <w:rPr>
                <w:rFonts w:ascii="Open Sans" w:hAnsi="Open Sans"/>
              </w:rPr>
              <w:t xml:space="preserve"> о требованиях безопасности крови, ее продуктов, кровезамещающих растворов и технических средств, используемых в </w:t>
            </w:r>
            <w:proofErr w:type="spellStart"/>
            <w:r w:rsidR="00010B6E" w:rsidRPr="009A0C45">
              <w:rPr>
                <w:rFonts w:ascii="Open Sans" w:hAnsi="Open Sans"/>
              </w:rPr>
              <w:t>трансфузионно-инфузионной</w:t>
            </w:r>
            <w:proofErr w:type="spellEnd"/>
            <w:r w:rsidR="00010B6E" w:rsidRPr="009A0C45">
              <w:rPr>
                <w:rFonts w:ascii="Open Sans" w:hAnsi="Open Sans"/>
              </w:rPr>
              <w:t xml:space="preserve"> терапии" от 26.01.2010 N 29</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both1"/>
              <w:rPr>
                <w:rFonts w:ascii="Open Sans" w:hAnsi="Open Sans"/>
              </w:rPr>
            </w:pPr>
            <w:bookmarkStart w:id="83" w:name="100121"/>
            <w:bookmarkEnd w:id="83"/>
            <w:r>
              <w:rPr>
                <w:rFonts w:ascii="Open Sans" w:hAnsi="Open Sans"/>
              </w:rPr>
              <w:t>1. Субъекты обращения донорской крови и (или) ее компонентов.</w:t>
            </w:r>
          </w:p>
          <w:p w:rsidR="00010B6E" w:rsidRDefault="00010B6E" w:rsidP="007E4E2B">
            <w:pPr>
              <w:pStyle w:val="pboth1"/>
              <w:rPr>
                <w:rFonts w:ascii="Open Sans" w:hAnsi="Open Sans"/>
              </w:rPr>
            </w:pPr>
            <w:r>
              <w:rPr>
                <w:rFonts w:ascii="Open Sans" w:hAnsi="Open Sans"/>
              </w:rPr>
              <w:t>2. Перечень объектов, в отношении которых устанавливаются обязательные требования:</w:t>
            </w:r>
          </w:p>
          <w:p w:rsidR="00010B6E" w:rsidRDefault="00010B6E" w:rsidP="007E4E2B">
            <w:pPr>
              <w:pStyle w:val="pboth1"/>
              <w:rPr>
                <w:rFonts w:ascii="Open Sans" w:hAnsi="Open Sans"/>
              </w:rPr>
            </w:pPr>
            <w:r>
              <w:rPr>
                <w:rFonts w:ascii="Open Sans" w:hAnsi="Open Sans"/>
              </w:rPr>
              <w:t>1) донорская кровь и ее компоненты;</w:t>
            </w:r>
          </w:p>
          <w:p w:rsidR="00010B6E" w:rsidRDefault="00010B6E" w:rsidP="007E4E2B">
            <w:pPr>
              <w:pStyle w:val="pboth1"/>
              <w:rPr>
                <w:rFonts w:ascii="Open Sans" w:hAnsi="Open Sans"/>
              </w:rPr>
            </w:pPr>
            <w:r>
              <w:rPr>
                <w:rFonts w:ascii="Open Sans" w:hAnsi="Open Sans"/>
              </w:rPr>
              <w:t>2) препараты из донорской крови;</w:t>
            </w:r>
          </w:p>
          <w:p w:rsidR="00010B6E" w:rsidRDefault="00010B6E" w:rsidP="007E4E2B">
            <w:pPr>
              <w:pStyle w:val="pboth1"/>
              <w:rPr>
                <w:rFonts w:ascii="Open Sans" w:hAnsi="Open Sans"/>
              </w:rPr>
            </w:pPr>
            <w:r>
              <w:rPr>
                <w:rFonts w:ascii="Open Sans" w:hAnsi="Open Sans"/>
              </w:rPr>
              <w:t>3) кровезамещающие растворы;</w:t>
            </w:r>
          </w:p>
          <w:p w:rsidR="00010B6E" w:rsidRDefault="00010B6E" w:rsidP="007E4E2B">
            <w:pPr>
              <w:pStyle w:val="pboth1"/>
              <w:rPr>
                <w:rFonts w:ascii="Open Sans" w:hAnsi="Open Sans"/>
              </w:rPr>
            </w:pPr>
            <w:r>
              <w:rPr>
                <w:rFonts w:ascii="Open Sans" w:hAnsi="Open Sans"/>
              </w:rPr>
              <w:t xml:space="preserve">4) технические средства, используемые в </w:t>
            </w:r>
            <w:proofErr w:type="spellStart"/>
            <w:r>
              <w:rPr>
                <w:rFonts w:ascii="Open Sans" w:hAnsi="Open Sans"/>
              </w:rPr>
              <w:t>трансфузионно-инфузионной</w:t>
            </w:r>
            <w:proofErr w:type="spellEnd"/>
            <w:r>
              <w:rPr>
                <w:rFonts w:ascii="Open Sans" w:hAnsi="Open Sans"/>
              </w:rPr>
              <w:t xml:space="preserve"> терапии, в частности изделия медицинского назначения (контейнеры полимерные, системы, устройства и приспособления однократного применения, в </w:t>
            </w:r>
            <w:r>
              <w:rPr>
                <w:rFonts w:ascii="Open Sans" w:hAnsi="Open Sans"/>
              </w:rPr>
              <w:lastRenderedPageBreak/>
              <w:t>том числе для соединения полимерных магистралей);</w:t>
            </w:r>
          </w:p>
          <w:p w:rsidR="00010B6E" w:rsidRDefault="00010B6E" w:rsidP="007E4E2B">
            <w:pPr>
              <w:pStyle w:val="pboth1"/>
              <w:rPr>
                <w:rFonts w:ascii="Open Sans" w:hAnsi="Open Sans"/>
              </w:rPr>
            </w:pPr>
            <w:r>
              <w:rPr>
                <w:rFonts w:ascii="Open Sans" w:hAnsi="Open Sans"/>
              </w:rPr>
              <w:t>5) процессы заготовки, переработки, хранения, транспортировки, утилизации, применения и обеспечения безопасности донорской крови и ее компонентов</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AF786B" w:rsidP="007E4E2B">
            <w:pPr>
              <w:rPr>
                <w:rFonts w:ascii="Open Sans" w:hAnsi="Open Sans"/>
              </w:rPr>
            </w:pPr>
            <w:r>
              <w:rPr>
                <w:rFonts w:ascii="Open Sans" w:hAnsi="Open Sans"/>
              </w:rPr>
              <w:lastRenderedPageBreak/>
              <w:t>Акт применяется в полном объеме</w:t>
            </w:r>
          </w:p>
        </w:tc>
      </w:tr>
      <w:tr w:rsidR="00010B6E" w:rsidTr="007E4E2B">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center1"/>
              <w:rPr>
                <w:rFonts w:ascii="Open Sans" w:hAnsi="Open Sans"/>
              </w:rPr>
            </w:pPr>
            <w:bookmarkStart w:id="84" w:name="100122"/>
            <w:bookmarkEnd w:id="84"/>
          </w:p>
        </w:tc>
        <w:tc>
          <w:tcPr>
            <w:tcW w:w="0" w:type="auto"/>
            <w:gridSpan w:val="3"/>
            <w:tcBorders>
              <w:top w:val="outset" w:sz="6" w:space="0" w:color="auto"/>
              <w:left w:val="outset" w:sz="6" w:space="0" w:color="auto"/>
              <w:bottom w:val="outset" w:sz="6" w:space="0" w:color="auto"/>
              <w:right w:val="outset" w:sz="6" w:space="0" w:color="auto"/>
            </w:tcBorders>
            <w:vAlign w:val="center"/>
          </w:tcPr>
          <w:p w:rsidR="00010B6E" w:rsidRPr="009A0C45" w:rsidRDefault="00010B6E" w:rsidP="007E4E2B">
            <w:pPr>
              <w:pStyle w:val="pcenter1"/>
              <w:rPr>
                <w:rFonts w:ascii="Open Sans" w:hAnsi="Open Sans"/>
              </w:rPr>
            </w:pPr>
            <w:bookmarkStart w:id="85" w:name="100123"/>
            <w:bookmarkEnd w:id="85"/>
            <w:r w:rsidRPr="009A0C45">
              <w:rPr>
                <w:rFonts w:ascii="Open Sans" w:hAnsi="Open Sans"/>
              </w:rPr>
              <w:t>Нормативные правовые акты федеральных органов исполнительной власти</w:t>
            </w:r>
          </w:p>
        </w:tc>
      </w:tr>
      <w:tr w:rsidR="00010B6E" w:rsidTr="007E4E2B">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center1"/>
              <w:rPr>
                <w:rFonts w:ascii="Open Sans" w:hAnsi="Open Sans"/>
              </w:rPr>
            </w:pPr>
            <w:bookmarkStart w:id="86" w:name="100124"/>
            <w:bookmarkEnd w:id="86"/>
            <w:r>
              <w:rPr>
                <w:rFonts w:ascii="Open Sans" w:hAnsi="Open Sans"/>
              </w:rPr>
              <w:t>1.</w:t>
            </w:r>
          </w:p>
        </w:tc>
        <w:tc>
          <w:tcPr>
            <w:tcW w:w="0" w:type="auto"/>
            <w:tcBorders>
              <w:top w:val="outset" w:sz="6" w:space="0" w:color="auto"/>
              <w:left w:val="outset" w:sz="6" w:space="0" w:color="auto"/>
              <w:bottom w:val="outset" w:sz="6" w:space="0" w:color="auto"/>
              <w:right w:val="outset" w:sz="6" w:space="0" w:color="auto"/>
            </w:tcBorders>
            <w:vAlign w:val="center"/>
          </w:tcPr>
          <w:p w:rsidR="00010B6E" w:rsidRPr="009A0C45" w:rsidRDefault="00010B6E" w:rsidP="007E4E2B">
            <w:pPr>
              <w:pStyle w:val="pboth1"/>
              <w:rPr>
                <w:rFonts w:ascii="Open Sans" w:hAnsi="Open Sans"/>
              </w:rPr>
            </w:pPr>
            <w:bookmarkStart w:id="87" w:name="100125"/>
            <w:bookmarkEnd w:id="87"/>
            <w:r w:rsidRPr="009A0C45">
              <w:rPr>
                <w:rFonts w:ascii="Open Sans" w:hAnsi="Open Sans"/>
              </w:rPr>
              <w:t>Приказ Министерства здравоохранения Российской Федерации от 19.07.2013 N 478н "Об утверждении норматива запаса донорской крови и (или) ее компонентов, а также порядок его формирования и расходования"</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both1"/>
              <w:rPr>
                <w:rFonts w:ascii="Open Sans" w:hAnsi="Open Sans"/>
              </w:rPr>
            </w:pPr>
            <w:bookmarkStart w:id="88" w:name="100126"/>
            <w:bookmarkEnd w:id="88"/>
            <w:r>
              <w:rPr>
                <w:rFonts w:ascii="Open Sans" w:hAnsi="Open Sans"/>
              </w:rPr>
              <w:t>Субъекты обращения донорской крови и (или) ее компонентов</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AF786B" w:rsidP="007E4E2B">
            <w:pPr>
              <w:rPr>
                <w:rFonts w:ascii="Open Sans" w:hAnsi="Open Sans"/>
              </w:rPr>
            </w:pPr>
            <w:r>
              <w:rPr>
                <w:rFonts w:ascii="Open Sans" w:hAnsi="Open Sans"/>
              </w:rPr>
              <w:t>Акт применяется в полном объеме</w:t>
            </w:r>
          </w:p>
        </w:tc>
      </w:tr>
      <w:tr w:rsidR="00010B6E" w:rsidTr="007E4E2B">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center1"/>
              <w:rPr>
                <w:rFonts w:ascii="Open Sans" w:hAnsi="Open Sans"/>
              </w:rPr>
            </w:pPr>
            <w:bookmarkStart w:id="89" w:name="100127"/>
            <w:bookmarkEnd w:id="89"/>
            <w:r>
              <w:rPr>
                <w:rFonts w:ascii="Open Sans" w:hAnsi="Open Sans"/>
              </w:rPr>
              <w:t>2.</w:t>
            </w:r>
          </w:p>
        </w:tc>
        <w:tc>
          <w:tcPr>
            <w:tcW w:w="0" w:type="auto"/>
            <w:tcBorders>
              <w:top w:val="outset" w:sz="6" w:space="0" w:color="auto"/>
              <w:left w:val="outset" w:sz="6" w:space="0" w:color="auto"/>
              <w:bottom w:val="outset" w:sz="6" w:space="0" w:color="auto"/>
              <w:right w:val="outset" w:sz="6" w:space="0" w:color="auto"/>
            </w:tcBorders>
            <w:vAlign w:val="center"/>
          </w:tcPr>
          <w:p w:rsidR="00010B6E" w:rsidRPr="009A0C45" w:rsidRDefault="00010B6E" w:rsidP="007E4E2B">
            <w:pPr>
              <w:pStyle w:val="pboth1"/>
              <w:rPr>
                <w:rFonts w:ascii="Open Sans" w:hAnsi="Open Sans"/>
              </w:rPr>
            </w:pPr>
            <w:bookmarkStart w:id="90" w:name="100128"/>
            <w:bookmarkEnd w:id="90"/>
            <w:r w:rsidRPr="009A0C45">
              <w:rPr>
                <w:rFonts w:ascii="Open Sans" w:hAnsi="Open Sans"/>
              </w:rPr>
              <w:t>Приказ Министерства здравоохранения Российской Федерации от 03.06.2013 N 348н "О порядке представления информации о реакциях и об осложнениях, возникших у реципиентов в связи с трансфузией (переливанием) донорской крови и (или) ее компонентов, в федеральный орган исполнительной власти, осуществляющий функции по организации деятельности службы крови"</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both1"/>
              <w:rPr>
                <w:rFonts w:ascii="Open Sans" w:hAnsi="Open Sans"/>
              </w:rPr>
            </w:pPr>
            <w:bookmarkStart w:id="91" w:name="100129"/>
            <w:bookmarkEnd w:id="91"/>
            <w:r>
              <w:rPr>
                <w:rFonts w:ascii="Open Sans" w:hAnsi="Open Sans"/>
              </w:rPr>
              <w:t>Медицинские организации, осуществляющие клиническое использование донорской крови и (или) ее компонентов</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AF786B" w:rsidP="007E4E2B">
            <w:pPr>
              <w:rPr>
                <w:rFonts w:ascii="Open Sans" w:hAnsi="Open Sans"/>
              </w:rPr>
            </w:pPr>
            <w:r>
              <w:rPr>
                <w:rFonts w:ascii="Open Sans" w:hAnsi="Open Sans"/>
              </w:rPr>
              <w:t>Акт применяется в полном объеме</w:t>
            </w:r>
          </w:p>
        </w:tc>
      </w:tr>
      <w:tr w:rsidR="00010B6E" w:rsidTr="007E4E2B">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center1"/>
              <w:rPr>
                <w:rFonts w:ascii="Open Sans" w:hAnsi="Open Sans"/>
              </w:rPr>
            </w:pPr>
            <w:bookmarkStart w:id="92" w:name="100130"/>
            <w:bookmarkEnd w:id="92"/>
            <w:r>
              <w:rPr>
                <w:rFonts w:ascii="Open Sans" w:hAnsi="Open Sans"/>
              </w:rPr>
              <w:t>3.</w:t>
            </w:r>
          </w:p>
        </w:tc>
        <w:tc>
          <w:tcPr>
            <w:tcW w:w="0" w:type="auto"/>
            <w:tcBorders>
              <w:top w:val="outset" w:sz="6" w:space="0" w:color="auto"/>
              <w:left w:val="outset" w:sz="6" w:space="0" w:color="auto"/>
              <w:bottom w:val="outset" w:sz="6" w:space="0" w:color="auto"/>
              <w:right w:val="outset" w:sz="6" w:space="0" w:color="auto"/>
            </w:tcBorders>
            <w:vAlign w:val="center"/>
          </w:tcPr>
          <w:p w:rsidR="00010B6E" w:rsidRPr="009A0C45" w:rsidRDefault="00010B6E" w:rsidP="007E4E2B">
            <w:pPr>
              <w:pStyle w:val="pboth1"/>
              <w:rPr>
                <w:rFonts w:ascii="Open Sans" w:hAnsi="Open Sans"/>
              </w:rPr>
            </w:pPr>
            <w:bookmarkStart w:id="93" w:name="100131"/>
            <w:bookmarkEnd w:id="93"/>
            <w:r w:rsidRPr="009A0C45">
              <w:rPr>
                <w:rFonts w:ascii="Open Sans" w:hAnsi="Open Sans"/>
              </w:rPr>
              <w:t>Приказ Министерства здравоохранения Российской Федерации от 02.04.2013 N 183н "Об утверждении правил клинического использования донорской крови и (или) ее компонентов"</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both1"/>
              <w:rPr>
                <w:rFonts w:ascii="Open Sans" w:hAnsi="Open Sans"/>
              </w:rPr>
            </w:pPr>
            <w:bookmarkStart w:id="94" w:name="100132"/>
            <w:bookmarkEnd w:id="94"/>
            <w:r>
              <w:rPr>
                <w:rFonts w:ascii="Open Sans" w:hAnsi="Open Sans"/>
              </w:rPr>
              <w:t>Медицинские организации, осуществляющие клиническое использование донорской крови и (или) ее компонентов</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AF786B" w:rsidP="007E4E2B">
            <w:pPr>
              <w:rPr>
                <w:rFonts w:ascii="Open Sans" w:hAnsi="Open Sans"/>
              </w:rPr>
            </w:pPr>
            <w:r>
              <w:rPr>
                <w:rFonts w:ascii="Open Sans" w:hAnsi="Open Sans"/>
              </w:rPr>
              <w:t>Акт применяется в полном объеме</w:t>
            </w:r>
          </w:p>
        </w:tc>
      </w:tr>
      <w:tr w:rsidR="00010B6E" w:rsidTr="007E4E2B">
        <w:tc>
          <w:tcPr>
            <w:tcW w:w="0" w:type="auto"/>
            <w:tcBorders>
              <w:top w:val="outset" w:sz="6" w:space="0" w:color="auto"/>
              <w:left w:val="outset" w:sz="6" w:space="0" w:color="auto"/>
              <w:bottom w:val="outset" w:sz="6" w:space="0" w:color="auto"/>
              <w:right w:val="outset" w:sz="6" w:space="0" w:color="auto"/>
            </w:tcBorders>
            <w:vAlign w:val="center"/>
          </w:tcPr>
          <w:p w:rsidR="00010B6E" w:rsidRDefault="00423471" w:rsidP="007E4E2B">
            <w:pPr>
              <w:pStyle w:val="pcenter1"/>
              <w:rPr>
                <w:rFonts w:ascii="Open Sans" w:hAnsi="Open Sans"/>
              </w:rPr>
            </w:pPr>
            <w:bookmarkStart w:id="95" w:name="100133"/>
            <w:bookmarkStart w:id="96" w:name="100137"/>
            <w:bookmarkEnd w:id="95"/>
            <w:bookmarkEnd w:id="96"/>
            <w:r>
              <w:rPr>
                <w:rFonts w:ascii="Open Sans" w:hAnsi="Open Sans"/>
              </w:rPr>
              <w:lastRenderedPageBreak/>
              <w:t>4</w:t>
            </w:r>
            <w:r w:rsidR="00010B6E">
              <w:rPr>
                <w:rFonts w:ascii="Open Sans" w:hAnsi="Open Sans"/>
              </w:rPr>
              <w:t>.</w:t>
            </w:r>
          </w:p>
        </w:tc>
        <w:tc>
          <w:tcPr>
            <w:tcW w:w="0" w:type="auto"/>
            <w:tcBorders>
              <w:top w:val="outset" w:sz="6" w:space="0" w:color="auto"/>
              <w:left w:val="outset" w:sz="6" w:space="0" w:color="auto"/>
              <w:bottom w:val="outset" w:sz="6" w:space="0" w:color="auto"/>
              <w:right w:val="outset" w:sz="6" w:space="0" w:color="auto"/>
            </w:tcBorders>
            <w:vAlign w:val="center"/>
          </w:tcPr>
          <w:p w:rsidR="00010B6E" w:rsidRPr="009A0C45" w:rsidRDefault="00010B6E" w:rsidP="007E4E2B">
            <w:pPr>
              <w:pStyle w:val="pboth1"/>
              <w:rPr>
                <w:rFonts w:ascii="Open Sans" w:hAnsi="Open Sans"/>
              </w:rPr>
            </w:pPr>
            <w:bookmarkStart w:id="97" w:name="100138"/>
            <w:bookmarkEnd w:id="97"/>
            <w:r w:rsidRPr="009A0C45">
              <w:rPr>
                <w:rFonts w:ascii="Open Sans" w:hAnsi="Open Sans"/>
              </w:rPr>
              <w:t>Приказ Министерства здравоохранения и социального развития Российской Федерации от 28.03.2012 N 278н "Об утверждении требований к организациям здравоохранения (структурным подразделениям), осуществляющим заготовку, переработку, хранение и обеспечение безопасности донорской крови и ее компонентов, и перечня оборудования для их оснащения"</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both1"/>
              <w:rPr>
                <w:rFonts w:ascii="Open Sans" w:hAnsi="Open Sans"/>
              </w:rPr>
            </w:pPr>
            <w:bookmarkStart w:id="98" w:name="100139"/>
            <w:bookmarkEnd w:id="98"/>
            <w:r>
              <w:rPr>
                <w:rFonts w:ascii="Open Sans" w:hAnsi="Open Sans"/>
              </w:rPr>
              <w:t>Субъекты обращения донорской крови и (или) ее компонентов</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AF786B" w:rsidP="007E4E2B">
            <w:pPr>
              <w:rPr>
                <w:rFonts w:ascii="Open Sans" w:hAnsi="Open Sans"/>
              </w:rPr>
            </w:pPr>
            <w:r>
              <w:rPr>
                <w:rFonts w:ascii="Open Sans" w:hAnsi="Open Sans"/>
              </w:rPr>
              <w:t>Акт применяется в полном объеме</w:t>
            </w:r>
          </w:p>
        </w:tc>
      </w:tr>
      <w:tr w:rsidR="00010B6E" w:rsidTr="007E4E2B">
        <w:tc>
          <w:tcPr>
            <w:tcW w:w="0" w:type="auto"/>
            <w:tcBorders>
              <w:top w:val="outset" w:sz="6" w:space="0" w:color="auto"/>
              <w:left w:val="outset" w:sz="6" w:space="0" w:color="auto"/>
              <w:bottom w:val="outset" w:sz="6" w:space="0" w:color="auto"/>
              <w:right w:val="outset" w:sz="6" w:space="0" w:color="auto"/>
            </w:tcBorders>
            <w:vAlign w:val="center"/>
          </w:tcPr>
          <w:p w:rsidR="00010B6E" w:rsidRDefault="00423471" w:rsidP="007E4E2B">
            <w:pPr>
              <w:pStyle w:val="pcenter1"/>
              <w:rPr>
                <w:rFonts w:ascii="Open Sans" w:hAnsi="Open Sans"/>
              </w:rPr>
            </w:pPr>
            <w:bookmarkStart w:id="99" w:name="100140"/>
            <w:bookmarkStart w:id="100" w:name="100143"/>
            <w:bookmarkStart w:id="101" w:name="100146"/>
            <w:bookmarkEnd w:id="99"/>
            <w:bookmarkEnd w:id="100"/>
            <w:bookmarkEnd w:id="101"/>
            <w:r>
              <w:rPr>
                <w:rFonts w:ascii="Open Sans" w:hAnsi="Open Sans"/>
              </w:rPr>
              <w:t>5</w:t>
            </w:r>
            <w:r w:rsidR="00010B6E">
              <w:rPr>
                <w:rFonts w:ascii="Open Sans" w:hAnsi="Open Sans"/>
              </w:rPr>
              <w:t>.</w:t>
            </w:r>
          </w:p>
        </w:tc>
        <w:tc>
          <w:tcPr>
            <w:tcW w:w="0" w:type="auto"/>
            <w:tcBorders>
              <w:top w:val="outset" w:sz="6" w:space="0" w:color="auto"/>
              <w:left w:val="outset" w:sz="6" w:space="0" w:color="auto"/>
              <w:bottom w:val="outset" w:sz="6" w:space="0" w:color="auto"/>
              <w:right w:val="outset" w:sz="6" w:space="0" w:color="auto"/>
            </w:tcBorders>
            <w:vAlign w:val="center"/>
          </w:tcPr>
          <w:p w:rsidR="00010B6E" w:rsidRPr="009A0C45" w:rsidRDefault="00010B6E" w:rsidP="007E4E2B">
            <w:pPr>
              <w:pStyle w:val="pboth1"/>
              <w:rPr>
                <w:rFonts w:ascii="Open Sans" w:hAnsi="Open Sans"/>
              </w:rPr>
            </w:pPr>
            <w:bookmarkStart w:id="102" w:name="100147"/>
            <w:bookmarkEnd w:id="102"/>
            <w:r w:rsidRPr="009A0C45">
              <w:rPr>
                <w:rFonts w:ascii="Open Sans" w:hAnsi="Open Sans"/>
              </w:rPr>
              <w:t>Приказ Министерства здравоохранения Российской Федерации от 25.11.2002 N 363 "Об утверждении Инструкции по применению компонентов крови"</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both1"/>
              <w:rPr>
                <w:rFonts w:ascii="Open Sans" w:hAnsi="Open Sans"/>
              </w:rPr>
            </w:pPr>
            <w:bookmarkStart w:id="103" w:name="100148"/>
            <w:bookmarkEnd w:id="103"/>
            <w:r>
              <w:rPr>
                <w:rFonts w:ascii="Open Sans" w:hAnsi="Open Sans"/>
              </w:rPr>
              <w:t>Медицинские организации, осуществляющие клиническое использование донорской крови и (или) ее компонентов</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AF786B" w:rsidP="007E4E2B">
            <w:pPr>
              <w:rPr>
                <w:rFonts w:ascii="Open Sans" w:hAnsi="Open Sans"/>
              </w:rPr>
            </w:pPr>
            <w:r>
              <w:rPr>
                <w:rFonts w:ascii="Open Sans" w:hAnsi="Open Sans"/>
              </w:rPr>
              <w:t>П.1,3,5,11</w:t>
            </w:r>
          </w:p>
        </w:tc>
      </w:tr>
      <w:tr w:rsidR="00010B6E" w:rsidTr="007E4E2B">
        <w:tc>
          <w:tcPr>
            <w:tcW w:w="0" w:type="auto"/>
            <w:tcBorders>
              <w:top w:val="outset" w:sz="6" w:space="0" w:color="auto"/>
              <w:left w:val="outset" w:sz="6" w:space="0" w:color="auto"/>
              <w:bottom w:val="outset" w:sz="6" w:space="0" w:color="auto"/>
              <w:right w:val="outset" w:sz="6" w:space="0" w:color="auto"/>
            </w:tcBorders>
            <w:vAlign w:val="center"/>
          </w:tcPr>
          <w:p w:rsidR="00010B6E" w:rsidRDefault="00423471" w:rsidP="007E4E2B">
            <w:pPr>
              <w:pStyle w:val="pcenter1"/>
              <w:rPr>
                <w:rFonts w:ascii="Open Sans" w:hAnsi="Open Sans"/>
              </w:rPr>
            </w:pPr>
            <w:bookmarkStart w:id="104" w:name="100149"/>
            <w:bookmarkStart w:id="105" w:name="100152"/>
            <w:bookmarkEnd w:id="104"/>
            <w:bookmarkEnd w:id="105"/>
            <w:r>
              <w:rPr>
                <w:rFonts w:ascii="Open Sans" w:hAnsi="Open Sans"/>
              </w:rPr>
              <w:t>6</w:t>
            </w:r>
            <w:r w:rsidR="00010B6E">
              <w:rPr>
                <w:rFonts w:ascii="Open Sans" w:hAnsi="Open Sans"/>
              </w:rPr>
              <w:t>.</w:t>
            </w:r>
          </w:p>
        </w:tc>
        <w:tc>
          <w:tcPr>
            <w:tcW w:w="0" w:type="auto"/>
            <w:tcBorders>
              <w:top w:val="outset" w:sz="6" w:space="0" w:color="auto"/>
              <w:left w:val="outset" w:sz="6" w:space="0" w:color="auto"/>
              <w:bottom w:val="outset" w:sz="6" w:space="0" w:color="auto"/>
              <w:right w:val="outset" w:sz="6" w:space="0" w:color="auto"/>
            </w:tcBorders>
            <w:vAlign w:val="center"/>
          </w:tcPr>
          <w:p w:rsidR="00010B6E" w:rsidRPr="009A0C45" w:rsidRDefault="00010B6E" w:rsidP="007E4E2B">
            <w:pPr>
              <w:pStyle w:val="pboth1"/>
              <w:rPr>
                <w:rFonts w:ascii="Open Sans" w:hAnsi="Open Sans"/>
              </w:rPr>
            </w:pPr>
            <w:bookmarkStart w:id="106" w:name="100153"/>
            <w:bookmarkEnd w:id="106"/>
            <w:r w:rsidRPr="009A0C45">
              <w:rPr>
                <w:rFonts w:ascii="Open Sans" w:hAnsi="Open Sans"/>
              </w:rPr>
              <w:t>Приказ Министерства здравоохранения Российской Федерации от 14.09.2001 N 364 "Об утверждении Порядка медицинского обследования донора крови и ее компонентов"</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both1"/>
              <w:rPr>
                <w:rFonts w:ascii="Open Sans" w:hAnsi="Open Sans"/>
              </w:rPr>
            </w:pPr>
            <w:bookmarkStart w:id="107" w:name="100154"/>
            <w:bookmarkEnd w:id="107"/>
            <w:r>
              <w:rPr>
                <w:rFonts w:ascii="Open Sans" w:hAnsi="Open Sans"/>
              </w:rPr>
              <w:t>Медицинские организации, осуществляющие заготовку донорской крови и (или) ее компонентов</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AF786B" w:rsidP="007E4E2B">
            <w:pPr>
              <w:rPr>
                <w:rFonts w:ascii="Open Sans" w:hAnsi="Open Sans"/>
              </w:rPr>
            </w:pPr>
            <w:r>
              <w:rPr>
                <w:rFonts w:ascii="Open Sans" w:hAnsi="Open Sans"/>
              </w:rPr>
              <w:t>Акт применяется в полном объеме</w:t>
            </w:r>
          </w:p>
        </w:tc>
      </w:tr>
      <w:tr w:rsidR="00010B6E" w:rsidTr="007E4E2B">
        <w:tc>
          <w:tcPr>
            <w:tcW w:w="0" w:type="auto"/>
            <w:tcBorders>
              <w:top w:val="outset" w:sz="6" w:space="0" w:color="auto"/>
              <w:left w:val="outset" w:sz="6" w:space="0" w:color="auto"/>
              <w:bottom w:val="outset" w:sz="6" w:space="0" w:color="auto"/>
              <w:right w:val="outset" w:sz="6" w:space="0" w:color="auto"/>
            </w:tcBorders>
            <w:vAlign w:val="center"/>
          </w:tcPr>
          <w:p w:rsidR="00010B6E" w:rsidRDefault="00423471" w:rsidP="007E4E2B">
            <w:pPr>
              <w:pStyle w:val="pcenter1"/>
              <w:rPr>
                <w:rFonts w:ascii="Open Sans" w:hAnsi="Open Sans"/>
              </w:rPr>
            </w:pPr>
            <w:bookmarkStart w:id="108" w:name="100155"/>
            <w:bookmarkStart w:id="109" w:name="100158"/>
            <w:bookmarkEnd w:id="108"/>
            <w:bookmarkEnd w:id="109"/>
            <w:r>
              <w:rPr>
                <w:rFonts w:ascii="Open Sans" w:hAnsi="Open Sans"/>
              </w:rPr>
              <w:t>7</w:t>
            </w:r>
            <w:r w:rsidR="00010B6E">
              <w:rPr>
                <w:rFonts w:ascii="Open Sans" w:hAnsi="Open Sans"/>
              </w:rPr>
              <w:t>.</w:t>
            </w:r>
          </w:p>
        </w:tc>
        <w:tc>
          <w:tcPr>
            <w:tcW w:w="0" w:type="auto"/>
            <w:tcBorders>
              <w:top w:val="outset" w:sz="6" w:space="0" w:color="auto"/>
              <w:left w:val="outset" w:sz="6" w:space="0" w:color="auto"/>
              <w:bottom w:val="outset" w:sz="6" w:space="0" w:color="auto"/>
              <w:right w:val="outset" w:sz="6" w:space="0" w:color="auto"/>
            </w:tcBorders>
            <w:vAlign w:val="center"/>
          </w:tcPr>
          <w:p w:rsidR="00010B6E" w:rsidRPr="009A0C45" w:rsidRDefault="00010B6E" w:rsidP="00AF786B">
            <w:pPr>
              <w:pStyle w:val="pboth1"/>
              <w:rPr>
                <w:rFonts w:ascii="Open Sans" w:hAnsi="Open Sans"/>
              </w:rPr>
            </w:pPr>
            <w:bookmarkStart w:id="110" w:name="100159"/>
            <w:bookmarkEnd w:id="110"/>
            <w:r w:rsidRPr="009A0C45">
              <w:rPr>
                <w:rFonts w:ascii="Open Sans" w:hAnsi="Open Sans"/>
              </w:rPr>
              <w:t>Приказ Министерства здравоохранения Рос</w:t>
            </w:r>
            <w:r w:rsidR="00AF786B">
              <w:rPr>
                <w:rFonts w:ascii="Open Sans" w:hAnsi="Open Sans"/>
              </w:rPr>
              <w:t>сийской Федерации от 30.10.2015 N 7</w:t>
            </w:r>
            <w:r w:rsidRPr="009A0C45">
              <w:rPr>
                <w:rFonts w:ascii="Open Sans" w:hAnsi="Open Sans"/>
              </w:rPr>
              <w:t>72 "О</w:t>
            </w:r>
            <w:r w:rsidR="00AF786B">
              <w:rPr>
                <w:rFonts w:ascii="Open Sans" w:hAnsi="Open Sans"/>
              </w:rPr>
              <w:t>б утверждении Порядка и срока рассмотрения заявки на донорскую кровь и (или)</w:t>
            </w:r>
            <w:r w:rsidRPr="009A0C45">
              <w:rPr>
                <w:rFonts w:ascii="Open Sans" w:hAnsi="Open Sans"/>
              </w:rPr>
              <w:t xml:space="preserve"> </w:t>
            </w:r>
            <w:r w:rsidR="00AF786B">
              <w:rPr>
                <w:rFonts w:ascii="Open Sans" w:hAnsi="Open Sans"/>
              </w:rPr>
              <w:t>её компоненты, порядка и срока вынесения решения (распорядительного акта) о безвозмездной передаче донорской крови и (или) ее компонентов»</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010B6E" w:rsidP="007E4E2B">
            <w:pPr>
              <w:pStyle w:val="pboth1"/>
              <w:rPr>
                <w:rFonts w:ascii="Open Sans" w:hAnsi="Open Sans"/>
              </w:rPr>
            </w:pPr>
            <w:bookmarkStart w:id="111" w:name="100160"/>
            <w:bookmarkEnd w:id="111"/>
            <w:r>
              <w:rPr>
                <w:rFonts w:ascii="Open Sans" w:hAnsi="Open Sans"/>
              </w:rPr>
              <w:t>Субъекты обращения донорской крови и (или) ее компонентов</w:t>
            </w:r>
          </w:p>
        </w:tc>
        <w:tc>
          <w:tcPr>
            <w:tcW w:w="0" w:type="auto"/>
            <w:tcBorders>
              <w:top w:val="outset" w:sz="6" w:space="0" w:color="auto"/>
              <w:left w:val="outset" w:sz="6" w:space="0" w:color="auto"/>
              <w:bottom w:val="outset" w:sz="6" w:space="0" w:color="auto"/>
              <w:right w:val="outset" w:sz="6" w:space="0" w:color="auto"/>
            </w:tcBorders>
            <w:vAlign w:val="center"/>
          </w:tcPr>
          <w:p w:rsidR="00010B6E" w:rsidRDefault="00AF786B" w:rsidP="007E4E2B">
            <w:pPr>
              <w:rPr>
                <w:rFonts w:ascii="Open Sans" w:hAnsi="Open Sans"/>
              </w:rPr>
            </w:pPr>
            <w:r>
              <w:rPr>
                <w:rFonts w:ascii="Open Sans" w:hAnsi="Open Sans"/>
              </w:rPr>
              <w:t>Акт применяется в полном объеме</w:t>
            </w:r>
          </w:p>
        </w:tc>
      </w:tr>
    </w:tbl>
    <w:p w:rsidR="00010B6E" w:rsidRDefault="00010B6E" w:rsidP="00010B6E">
      <w:pPr>
        <w:pStyle w:val="pboth1"/>
        <w:rPr>
          <w:rFonts w:ascii="Open Sans" w:hAnsi="Open Sans"/>
          <w:sz w:val="23"/>
          <w:szCs w:val="23"/>
        </w:rPr>
      </w:pPr>
      <w:bookmarkStart w:id="112" w:name="100161"/>
      <w:bookmarkEnd w:id="112"/>
      <w:r>
        <w:rPr>
          <w:rFonts w:ascii="Open Sans" w:hAnsi="Open Sans"/>
          <w:sz w:val="23"/>
          <w:szCs w:val="23"/>
        </w:rPr>
        <w:t>--------------------------------</w:t>
      </w:r>
    </w:p>
    <w:p w:rsidR="00010B6E" w:rsidRDefault="00010B6E" w:rsidP="00010B6E">
      <w:pPr>
        <w:pStyle w:val="pboth1"/>
        <w:rPr>
          <w:rFonts w:ascii="Open Sans" w:hAnsi="Open Sans"/>
          <w:sz w:val="23"/>
          <w:szCs w:val="23"/>
        </w:rPr>
      </w:pPr>
      <w:bookmarkStart w:id="113" w:name="100162"/>
      <w:bookmarkEnd w:id="113"/>
      <w:r>
        <w:rPr>
          <w:rFonts w:ascii="Open Sans" w:hAnsi="Open Sans"/>
          <w:sz w:val="23"/>
          <w:szCs w:val="23"/>
        </w:rPr>
        <w:lastRenderedPageBreak/>
        <w:t>&lt;*&gt; Структурные единицы акта указываются в случае содержания в одном акте обязательных требований, соблюдение которых оценивается при осуществлении нескольких видов государственного контроля (надзора). В иных случаях указания на структурные единицы акта может в Перечень актов не включаться.</w:t>
      </w:r>
    </w:p>
    <w:p w:rsidR="00C719DF" w:rsidRDefault="00C719DF" w:rsidP="00C719DF">
      <w:pPr>
        <w:spacing w:line="100" w:lineRule="atLeast"/>
        <w:ind w:firstLine="708"/>
      </w:pPr>
    </w:p>
    <w:p w:rsidR="00C719DF" w:rsidRDefault="00C719DF" w:rsidP="00C719DF">
      <w:pPr>
        <w:rPr>
          <w:b/>
          <w:sz w:val="28"/>
        </w:rPr>
      </w:pPr>
    </w:p>
    <w:p w:rsidR="00C719DF" w:rsidRDefault="00C719DF"/>
    <w:sectPr w:rsidR="00C719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Open Sans">
    <w:altName w:val="Times New Roman"/>
    <w:charset w:val="00"/>
    <w:family w:val="auto"/>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Num5"/>
    <w:lvl w:ilvl="0">
      <w:start w:val="1"/>
      <w:numFmt w:val="bullet"/>
      <w:lvlText w:val=""/>
      <w:lvlJc w:val="left"/>
      <w:pPr>
        <w:tabs>
          <w:tab w:val="num" w:pos="0"/>
        </w:tabs>
        <w:ind w:left="1320" w:hanging="360"/>
      </w:pPr>
      <w:rPr>
        <w:rFonts w:ascii="Symbol" w:hAnsi="Symbol"/>
      </w:rPr>
    </w:lvl>
    <w:lvl w:ilvl="1">
      <w:start w:val="1"/>
      <w:numFmt w:val="bullet"/>
      <w:lvlText w:val="o"/>
      <w:lvlJc w:val="left"/>
      <w:pPr>
        <w:tabs>
          <w:tab w:val="num" w:pos="0"/>
        </w:tabs>
        <w:ind w:left="2040" w:hanging="360"/>
      </w:pPr>
      <w:rPr>
        <w:rFonts w:ascii="Courier New" w:hAnsi="Courier New"/>
      </w:rPr>
    </w:lvl>
    <w:lvl w:ilvl="2">
      <w:start w:val="1"/>
      <w:numFmt w:val="bullet"/>
      <w:lvlText w:val=""/>
      <w:lvlJc w:val="left"/>
      <w:pPr>
        <w:tabs>
          <w:tab w:val="num" w:pos="0"/>
        </w:tabs>
        <w:ind w:left="2760" w:hanging="360"/>
      </w:pPr>
      <w:rPr>
        <w:rFonts w:ascii="Wingdings" w:hAnsi="Wingdings"/>
      </w:rPr>
    </w:lvl>
    <w:lvl w:ilvl="3">
      <w:start w:val="1"/>
      <w:numFmt w:val="bullet"/>
      <w:lvlText w:val=""/>
      <w:lvlJc w:val="left"/>
      <w:pPr>
        <w:tabs>
          <w:tab w:val="num" w:pos="0"/>
        </w:tabs>
        <w:ind w:left="3480" w:hanging="360"/>
      </w:pPr>
      <w:rPr>
        <w:rFonts w:ascii="Symbol" w:hAnsi="Symbol"/>
      </w:rPr>
    </w:lvl>
    <w:lvl w:ilvl="4">
      <w:start w:val="1"/>
      <w:numFmt w:val="bullet"/>
      <w:lvlText w:val="o"/>
      <w:lvlJc w:val="left"/>
      <w:pPr>
        <w:tabs>
          <w:tab w:val="num" w:pos="0"/>
        </w:tabs>
        <w:ind w:left="4200" w:hanging="360"/>
      </w:pPr>
      <w:rPr>
        <w:rFonts w:ascii="Courier New" w:hAnsi="Courier New"/>
      </w:rPr>
    </w:lvl>
    <w:lvl w:ilvl="5">
      <w:start w:val="1"/>
      <w:numFmt w:val="bullet"/>
      <w:lvlText w:val=""/>
      <w:lvlJc w:val="left"/>
      <w:pPr>
        <w:tabs>
          <w:tab w:val="num" w:pos="0"/>
        </w:tabs>
        <w:ind w:left="4920" w:hanging="360"/>
      </w:pPr>
      <w:rPr>
        <w:rFonts w:ascii="Wingdings" w:hAnsi="Wingdings"/>
      </w:rPr>
    </w:lvl>
    <w:lvl w:ilvl="6">
      <w:start w:val="1"/>
      <w:numFmt w:val="bullet"/>
      <w:lvlText w:val=""/>
      <w:lvlJc w:val="left"/>
      <w:pPr>
        <w:tabs>
          <w:tab w:val="num" w:pos="0"/>
        </w:tabs>
        <w:ind w:left="5640" w:hanging="360"/>
      </w:pPr>
      <w:rPr>
        <w:rFonts w:ascii="Symbol" w:hAnsi="Symbol"/>
      </w:rPr>
    </w:lvl>
    <w:lvl w:ilvl="7">
      <w:start w:val="1"/>
      <w:numFmt w:val="bullet"/>
      <w:lvlText w:val="o"/>
      <w:lvlJc w:val="left"/>
      <w:pPr>
        <w:tabs>
          <w:tab w:val="num" w:pos="0"/>
        </w:tabs>
        <w:ind w:left="6360" w:hanging="360"/>
      </w:pPr>
      <w:rPr>
        <w:rFonts w:ascii="Courier New" w:hAnsi="Courier New"/>
      </w:rPr>
    </w:lvl>
    <w:lvl w:ilvl="8">
      <w:start w:val="1"/>
      <w:numFmt w:val="bullet"/>
      <w:lvlText w:val=""/>
      <w:lvlJc w:val="left"/>
      <w:pPr>
        <w:tabs>
          <w:tab w:val="num" w:pos="0"/>
        </w:tabs>
        <w:ind w:left="70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238"/>
    <w:rsid w:val="00010B6E"/>
    <w:rsid w:val="00053B7F"/>
    <w:rsid w:val="00252BED"/>
    <w:rsid w:val="003048BD"/>
    <w:rsid w:val="003071F9"/>
    <w:rsid w:val="00314238"/>
    <w:rsid w:val="00423471"/>
    <w:rsid w:val="004B4272"/>
    <w:rsid w:val="005B48BB"/>
    <w:rsid w:val="005E3BEE"/>
    <w:rsid w:val="006C0D47"/>
    <w:rsid w:val="009A0C45"/>
    <w:rsid w:val="009C0DBF"/>
    <w:rsid w:val="00A22641"/>
    <w:rsid w:val="00AF786B"/>
    <w:rsid w:val="00B1283A"/>
    <w:rsid w:val="00B8617D"/>
    <w:rsid w:val="00C719DF"/>
    <w:rsid w:val="00D1413E"/>
    <w:rsid w:val="00D44410"/>
    <w:rsid w:val="00E4269B"/>
    <w:rsid w:val="00EE47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6F07D6-211C-4652-B1FE-941E1BEB2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7B1"/>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C719DF"/>
    <w:pPr>
      <w:suppressAutoHyphens/>
      <w:spacing w:after="200" w:line="276" w:lineRule="auto"/>
      <w:ind w:left="720"/>
      <w:jc w:val="left"/>
    </w:pPr>
    <w:rPr>
      <w:rFonts w:ascii="Calibri" w:hAnsi="Calibri"/>
      <w:sz w:val="22"/>
      <w:szCs w:val="22"/>
      <w:lang w:eastAsia="ar-SA"/>
    </w:rPr>
  </w:style>
  <w:style w:type="paragraph" w:styleId="a3">
    <w:name w:val="List Paragraph"/>
    <w:basedOn w:val="a"/>
    <w:link w:val="a4"/>
    <w:qFormat/>
    <w:rsid w:val="00252BED"/>
    <w:pPr>
      <w:spacing w:after="200" w:line="276" w:lineRule="auto"/>
      <w:ind w:left="720"/>
      <w:jc w:val="left"/>
    </w:pPr>
    <w:rPr>
      <w:rFonts w:ascii="Calibri" w:hAnsi="Calibri" w:cs="Calibri"/>
      <w:sz w:val="22"/>
      <w:szCs w:val="22"/>
      <w:lang w:eastAsia="en-US"/>
    </w:rPr>
  </w:style>
  <w:style w:type="character" w:customStyle="1" w:styleId="a4">
    <w:name w:val="Абзац списка Знак"/>
    <w:link w:val="a3"/>
    <w:locked/>
    <w:rsid w:val="00252BED"/>
    <w:rPr>
      <w:rFonts w:ascii="Calibri" w:eastAsia="Times New Roman" w:hAnsi="Calibri" w:cs="Calibri"/>
    </w:rPr>
  </w:style>
  <w:style w:type="character" w:styleId="a5">
    <w:name w:val="Hyperlink"/>
    <w:basedOn w:val="a0"/>
    <w:rsid w:val="00010B6E"/>
    <w:rPr>
      <w:color w:val="005EA5"/>
      <w:u w:val="single"/>
    </w:rPr>
  </w:style>
  <w:style w:type="paragraph" w:customStyle="1" w:styleId="pcenter1">
    <w:name w:val="pcenter1"/>
    <w:basedOn w:val="a"/>
    <w:rsid w:val="00010B6E"/>
    <w:pPr>
      <w:spacing w:before="100" w:beforeAutospacing="1" w:after="180" w:line="330" w:lineRule="atLeast"/>
      <w:jc w:val="center"/>
    </w:pPr>
  </w:style>
  <w:style w:type="paragraph" w:customStyle="1" w:styleId="pboth1">
    <w:name w:val="pboth1"/>
    <w:basedOn w:val="a"/>
    <w:rsid w:val="00010B6E"/>
    <w:pPr>
      <w:spacing w:before="100" w:beforeAutospacing="1" w:after="180" w:line="330" w:lineRule="atLeast"/>
    </w:pPr>
  </w:style>
  <w:style w:type="paragraph" w:styleId="a6">
    <w:name w:val="Balloon Text"/>
    <w:basedOn w:val="a"/>
    <w:link w:val="a7"/>
    <w:uiPriority w:val="99"/>
    <w:semiHidden/>
    <w:unhideWhenUsed/>
    <w:rsid w:val="003048BD"/>
    <w:rPr>
      <w:rFonts w:ascii="Segoe UI" w:hAnsi="Segoe UI" w:cs="Segoe UI"/>
      <w:sz w:val="18"/>
      <w:szCs w:val="18"/>
    </w:rPr>
  </w:style>
  <w:style w:type="character" w:customStyle="1" w:styleId="a7">
    <w:name w:val="Текст выноски Знак"/>
    <w:basedOn w:val="a0"/>
    <w:link w:val="a6"/>
    <w:uiPriority w:val="99"/>
    <w:semiHidden/>
    <w:rsid w:val="003048B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alacts.ru/doc/294_FZ-o-zawite-prav-jur-lic/" TargetMode="External"/><Relationship Id="rId13" Type="http://schemas.openxmlformats.org/officeDocument/2006/relationships/hyperlink" Target="http://legalacts.ru/doc/294_FZ-o-zawite-prav-jur-lic/" TargetMode="External"/><Relationship Id="rId18" Type="http://schemas.openxmlformats.org/officeDocument/2006/relationships/hyperlink" Target="http://legalacts.ru/kodeks/KOAP-RF/razdel-ii/glava-19/statja-19.4.1/" TargetMode="External"/><Relationship Id="rId26" Type="http://schemas.openxmlformats.org/officeDocument/2006/relationships/hyperlink" Target="http://legalacts.ru/doc/FZ-ob-osnovah-ohrany-zdorovja-grazhdan/" TargetMode="External"/><Relationship Id="rId3" Type="http://schemas.openxmlformats.org/officeDocument/2006/relationships/settings" Target="settings.xml"/><Relationship Id="rId21" Type="http://schemas.openxmlformats.org/officeDocument/2006/relationships/hyperlink" Target="http://legalacts.ru/doc/99_FZ-o-licenzirovanii-otdelnyh-vidov-dejatelnosti/" TargetMode="External"/><Relationship Id="rId7" Type="http://schemas.openxmlformats.org/officeDocument/2006/relationships/hyperlink" Target="http://legalacts.ru/doc/294_FZ-o-zawite-prav-jur-lic/" TargetMode="External"/><Relationship Id="rId12" Type="http://schemas.openxmlformats.org/officeDocument/2006/relationships/hyperlink" Target="http://legalacts.ru/doc/294_FZ-o-zawite-prav-jur-lic/" TargetMode="External"/><Relationship Id="rId17" Type="http://schemas.openxmlformats.org/officeDocument/2006/relationships/hyperlink" Target="http://legalacts.ru/doc/294_FZ-o-zawite-prav-jur-lic/" TargetMode="External"/><Relationship Id="rId25" Type="http://schemas.openxmlformats.org/officeDocument/2006/relationships/hyperlink" Target="http://legalacts.ru/doc/FZ-ob-osnovah-ohrany-zdorovja-grazhdan/" TargetMode="External"/><Relationship Id="rId2" Type="http://schemas.openxmlformats.org/officeDocument/2006/relationships/styles" Target="styles.xml"/><Relationship Id="rId16" Type="http://schemas.openxmlformats.org/officeDocument/2006/relationships/hyperlink" Target="http://legalacts.ru/doc/294_FZ-o-zawite-prav-jur-lic/" TargetMode="External"/><Relationship Id="rId20" Type="http://schemas.openxmlformats.org/officeDocument/2006/relationships/hyperlink" Target="http://legalacts.ru/doc/federalnyi-zakon-ot-20072012-n-125-fz-o/"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legalacts.ru/doc/294_FZ-o-zawite-prav-jur-lic/" TargetMode="External"/><Relationship Id="rId11" Type="http://schemas.openxmlformats.org/officeDocument/2006/relationships/hyperlink" Target="http://legalacts.ru/doc/postanovlenie-pravitelstva-rf-ot-10022017-n-166-ob-utverzhdenii/" TargetMode="External"/><Relationship Id="rId24" Type="http://schemas.openxmlformats.org/officeDocument/2006/relationships/hyperlink" Target="http://legalacts.ru/doc/federalnyi-zakon-ot-20072012-n-125-fz-o/" TargetMode="External"/><Relationship Id="rId5" Type="http://schemas.openxmlformats.org/officeDocument/2006/relationships/hyperlink" Target="http://legalacts.ru/doc/federalnyi-zakon-ot-03072016-n-277-fz-o/" TargetMode="External"/><Relationship Id="rId15" Type="http://schemas.openxmlformats.org/officeDocument/2006/relationships/hyperlink" Target="http://legalacts.ru/doc/294_FZ-o-zawite-prav-jur-lic/" TargetMode="External"/><Relationship Id="rId23" Type="http://schemas.openxmlformats.org/officeDocument/2006/relationships/hyperlink" Target="http://legalacts.ru/doc/rukovodstvo-po-sobliudeniiu-deistvuiushchikh-objazatelnykh-trebovanii-pri-osushchestvlenii-gosudarstvennogo/" TargetMode="External"/><Relationship Id="rId28" Type="http://schemas.openxmlformats.org/officeDocument/2006/relationships/fontTable" Target="fontTable.xml"/><Relationship Id="rId10" Type="http://schemas.openxmlformats.org/officeDocument/2006/relationships/hyperlink" Target="http://legalacts.ru/doc/294_FZ-o-zawite-prav-jur-lic/" TargetMode="External"/><Relationship Id="rId19" Type="http://schemas.openxmlformats.org/officeDocument/2006/relationships/hyperlink" Target="http://legalacts.ru/doc/294_FZ-o-zawite-prav-jur-lic/" TargetMode="External"/><Relationship Id="rId4" Type="http://schemas.openxmlformats.org/officeDocument/2006/relationships/webSettings" Target="webSettings.xml"/><Relationship Id="rId9" Type="http://schemas.openxmlformats.org/officeDocument/2006/relationships/hyperlink" Target="http://legalacts.ru/doc/294_FZ-o-zawite-prav-jur-lic/" TargetMode="External"/><Relationship Id="rId14" Type="http://schemas.openxmlformats.org/officeDocument/2006/relationships/hyperlink" Target="http://legalacts.ru/doc/294_FZ-o-zawite-prav-jur-lic/" TargetMode="External"/><Relationship Id="rId22" Type="http://schemas.openxmlformats.org/officeDocument/2006/relationships/hyperlink" Target="http://legalacts.ru/doc/294_FZ-o-zawite-prav-jur-lic/" TargetMode="External"/><Relationship Id="rId27" Type="http://schemas.openxmlformats.org/officeDocument/2006/relationships/hyperlink" Target="http://legalacts.ru/doc/FZ-ob-osnovah-ohrany-zdorovja-grazhd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3376</Words>
  <Characters>19248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Инна</dc:creator>
  <cp:keywords/>
  <dc:description/>
  <cp:lastModifiedBy>Инна</cp:lastModifiedBy>
  <cp:revision>15</cp:revision>
  <cp:lastPrinted>2018-05-11T07:47:00Z</cp:lastPrinted>
  <dcterms:created xsi:type="dcterms:W3CDTF">2018-05-08T08:13:00Z</dcterms:created>
  <dcterms:modified xsi:type="dcterms:W3CDTF">2018-05-18T08:23:00Z</dcterms:modified>
</cp:coreProperties>
</file>